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E32C7" w14:textId="0EF05B58" w:rsidR="009B410A" w:rsidRPr="009B410A" w:rsidRDefault="002460C3" w:rsidP="002460C3">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Дәріс </w:t>
      </w:r>
      <w:r>
        <w:rPr>
          <w:rFonts w:ascii="Times New Roman" w:eastAsia="Times New Roman" w:hAnsi="Times New Roman" w:cs="Times New Roman"/>
          <w:sz w:val="24"/>
          <w:szCs w:val="24"/>
          <w:lang w:eastAsia="ru-RU"/>
        </w:rPr>
        <w:t>5</w:t>
      </w:r>
      <w:r w:rsidR="009B410A" w:rsidRPr="009B410A">
        <w:rPr>
          <w:rFonts w:ascii="Times New Roman" w:eastAsia="Times New Roman" w:hAnsi="Times New Roman" w:cs="Times New Roman"/>
          <w:sz w:val="24"/>
          <w:szCs w:val="24"/>
          <w:lang w:val="kk-KZ" w:eastAsia="ru-RU"/>
        </w:rPr>
        <w:t xml:space="preserve"> «Бизнес-тұтынушы» секторы</w:t>
      </w:r>
    </w:p>
    <w:p w14:paraId="15DEE891" w14:textId="610EEF33" w:rsidR="009B410A" w:rsidRPr="009B410A" w:rsidRDefault="009B410A" w:rsidP="002460C3">
      <w:pPr>
        <w:spacing w:after="0" w:line="240" w:lineRule="auto"/>
        <w:ind w:firstLine="709"/>
        <w:jc w:val="center"/>
        <w:rPr>
          <w:rFonts w:ascii="Times New Roman" w:eastAsia="Times New Roman" w:hAnsi="Times New Roman" w:cs="Times New Roman"/>
          <w:sz w:val="24"/>
          <w:szCs w:val="24"/>
          <w:lang w:eastAsia="ru-RU"/>
        </w:rPr>
      </w:pPr>
    </w:p>
    <w:p w14:paraId="238CC836" w14:textId="35ED0614" w:rsidR="009B410A" w:rsidRPr="009B410A" w:rsidRDefault="009B410A" w:rsidP="002460C3">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Электрондық сауда теориясы мен практикасы</w:t>
      </w:r>
    </w:p>
    <w:p w14:paraId="6AE988AC"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 </w:t>
      </w:r>
    </w:p>
    <w:p w14:paraId="1C2D0C2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сауда рыногының зор әлеуеті қазір күдік туғызбайды, сондай-ақ электрондық сауданың өзі де, ол жанасатын бизнестің барлық салаларын радикалды өзгертеді. Бірақ осы тақырыпқа тым жоғары қызығушы-лық кейбір иллюзияларды туғызады. Кейбір жағдайларда инвестордың электрондық технологияны пайдалануды қолдауға қатысты шешімі нық сенімге негізделгендіктен, тез әрекет ету қажет немесе соңында қаласың. Ондаған жылдар бойы инвестицияны анықтаған, бизнес-жоспар мен инвестицияны қайтаруды бағалау типіндегі қалыпты әдістеме «Интернетке жүгіну» кезінде еленбейді. Оның орнына, логикалық қорытындылардан гөрі, күтуге көбірек негізделген жаңа рыноктық логика – салдармен жымдасады, компания Интер-нетте ұзақ болған сайын және графикті өз сайтына тартқан сайын, аяғында, солай немесе басқаша болсын, нақты бизнеспен соншалық жымдасып кетеді. </w:t>
      </w:r>
    </w:p>
    <w:p w14:paraId="0737C36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Қазіргі кезде жеке компьютер – желіге қатынастың доминатты платформасы және қарапайым статистикалық  деректерге сәйкес көптеген адамдар Интернеттің жетіспеушілігін көріп немесе оған қол жеткізе алмай келеді (2.1-сурет).</w:t>
      </w:r>
    </w:p>
    <w:p w14:paraId="014F353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Еуропада табысты Интернет-кәсіпорындар санының өсуіне қарамастан, индустрияның көптеген аналитиктері электрондық коммерцияға қатысушылар-дың шекті массасына Еуропада телекоммуникациялық қызметтер тарифтары төмендеген жағдайда ғана қол жеткізуі мүмкін</w:t>
      </w:r>
    </w:p>
    <w:p w14:paraId="56B90B58" w14:textId="77777777" w:rsidR="009B410A" w:rsidRPr="002460C3"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3F507B0" w14:textId="77777777" w:rsidR="009B410A" w:rsidRPr="002460C3" w:rsidRDefault="009B410A" w:rsidP="008C6841">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A34AC4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Интернетке қол жеткізгендердің санының тауарлар мен қызметтер Интернетіне негізделген әлеуетке әсерін білу қажет. Тұтас алғанда, кездейсоқ сатып алушы тауарды Интернет арқылы сатып алу мүмкіндігі тауардың кез келген берілген категориясында қарапайым сызықтық теңдеу түрінде өрнектелуі мүмкін, оған таңдаудың жеке стратегиясының жинағы және қол жеткізудің технологиялық факторлары енеді.</w:t>
      </w:r>
    </w:p>
    <w:p w14:paraId="11C1E24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tbl>
      <w:tblPr>
        <w:tblW w:w="5000" w:type="pct"/>
        <w:tblCellMar>
          <w:left w:w="0" w:type="dxa"/>
          <w:right w:w="0" w:type="dxa"/>
        </w:tblCellMar>
        <w:tblLook w:val="04A0" w:firstRow="1" w:lastRow="0" w:firstColumn="1" w:lastColumn="0" w:noHBand="0" w:noVBand="1"/>
      </w:tblPr>
      <w:tblGrid>
        <w:gridCol w:w="3190"/>
        <w:gridCol w:w="3190"/>
        <w:gridCol w:w="3191"/>
      </w:tblGrid>
      <w:tr w:rsidR="009B410A" w:rsidRPr="009B410A" w14:paraId="4C5ACED4" w14:textId="77777777" w:rsidTr="009B410A">
        <w:tc>
          <w:tcPr>
            <w:tcW w:w="1666" w:type="pct"/>
            <w:tcMar>
              <w:top w:w="0" w:type="dxa"/>
              <w:left w:w="108" w:type="dxa"/>
              <w:bottom w:w="0" w:type="dxa"/>
              <w:right w:w="108" w:type="dxa"/>
            </w:tcMar>
            <w:hideMark/>
          </w:tcPr>
          <w:p w14:paraId="5611B5D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tc>
        <w:tc>
          <w:tcPr>
            <w:tcW w:w="1666" w:type="pct"/>
            <w:tcMar>
              <w:top w:w="0" w:type="dxa"/>
              <w:left w:w="108" w:type="dxa"/>
              <w:bottom w:w="0" w:type="dxa"/>
              <w:right w:w="108" w:type="dxa"/>
            </w:tcMar>
            <w:hideMark/>
          </w:tcPr>
          <w:p w14:paraId="007B1930"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Р</w:t>
            </w:r>
            <w:r w:rsidRPr="009B410A">
              <w:rPr>
                <w:rFonts w:ascii="Times New Roman" w:eastAsia="Times New Roman" w:hAnsi="Times New Roman" w:cs="Times New Roman"/>
                <w:sz w:val="24"/>
                <w:szCs w:val="24"/>
                <w:vertAlign w:val="subscript"/>
                <w:lang w:val="kk-KZ" w:eastAsia="ru-RU"/>
              </w:rPr>
              <w:t>е</w:t>
            </w:r>
            <w:r w:rsidRPr="009B410A">
              <w:rPr>
                <w:rFonts w:ascii="Times New Roman" w:eastAsia="Times New Roman" w:hAnsi="Times New Roman" w:cs="Times New Roman"/>
                <w:sz w:val="24"/>
                <w:szCs w:val="24"/>
                <w:lang w:val="kk-KZ" w:eastAsia="ru-RU"/>
              </w:rPr>
              <w:t xml:space="preserve"> = а</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t</w:t>
            </w:r>
            <w:r w:rsidRPr="009B410A">
              <w:rPr>
                <w:rFonts w:ascii="Times New Roman" w:eastAsia="Times New Roman" w:hAnsi="Times New Roman" w:cs="Times New Roman"/>
                <w:sz w:val="24"/>
                <w:szCs w:val="24"/>
                <w:vertAlign w:val="subscript"/>
                <w:lang w:val="kk-KZ" w:eastAsia="ru-RU"/>
              </w:rPr>
              <w:t>i</w:t>
            </w:r>
            <w:r w:rsidRPr="009B410A">
              <w:rPr>
                <w:rFonts w:ascii="Times New Roman" w:eastAsia="Times New Roman" w:hAnsi="Times New Roman" w:cs="Times New Roman"/>
                <w:sz w:val="24"/>
                <w:szCs w:val="24"/>
                <w:lang w:val="kk-KZ" w:eastAsia="ru-RU"/>
              </w:rPr>
              <w:t xml:space="preserve"> • с</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h</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n</w:t>
            </w:r>
            <w:r w:rsidRPr="009B410A">
              <w:rPr>
                <w:rFonts w:ascii="Times New Roman" w:eastAsia="Times New Roman" w:hAnsi="Times New Roman" w:cs="Times New Roman"/>
                <w:sz w:val="24"/>
                <w:szCs w:val="24"/>
                <w:vertAlign w:val="subscript"/>
                <w:lang w:val="kk-KZ" w:eastAsia="ru-RU"/>
              </w:rPr>
              <w:t>i,</w:t>
            </w:r>
          </w:p>
        </w:tc>
        <w:tc>
          <w:tcPr>
            <w:tcW w:w="1667" w:type="pct"/>
            <w:tcMar>
              <w:top w:w="0" w:type="dxa"/>
              <w:left w:w="108" w:type="dxa"/>
              <w:bottom w:w="0" w:type="dxa"/>
              <w:right w:w="108" w:type="dxa"/>
            </w:tcMar>
            <w:hideMark/>
          </w:tcPr>
          <w:p w14:paraId="0D81EC81" w14:textId="77777777" w:rsidR="009B410A" w:rsidRPr="009B410A" w:rsidRDefault="009B410A" w:rsidP="008C6841">
            <w:pPr>
              <w:spacing w:after="0" w:line="240" w:lineRule="auto"/>
              <w:ind w:firstLine="709"/>
              <w:jc w:val="right"/>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(2.1)</w:t>
            </w:r>
          </w:p>
        </w:tc>
      </w:tr>
    </w:tbl>
    <w:p w14:paraId="52BD88A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мұнда Р</w:t>
      </w:r>
      <w:r w:rsidRPr="009B410A">
        <w:rPr>
          <w:rFonts w:ascii="Times New Roman" w:eastAsia="Times New Roman" w:hAnsi="Times New Roman" w:cs="Times New Roman"/>
          <w:sz w:val="24"/>
          <w:szCs w:val="24"/>
          <w:vertAlign w:val="subscript"/>
          <w:lang w:val="kk-KZ" w:eastAsia="ru-RU"/>
        </w:rPr>
        <w:t>е</w:t>
      </w:r>
      <w:r w:rsidRPr="009B410A">
        <w:rPr>
          <w:rFonts w:ascii="Times New Roman" w:eastAsia="Times New Roman" w:hAnsi="Times New Roman" w:cs="Times New Roman"/>
          <w:sz w:val="24"/>
          <w:szCs w:val="24"/>
          <w:lang w:val="kk-KZ" w:eastAsia="ru-RU"/>
        </w:rPr>
        <w:t xml:space="preserve"> – тауарлық категорияда электрондық сатып алу мүмкіндігі;</w:t>
      </w:r>
    </w:p>
    <w:p w14:paraId="4C3114F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а</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тауардың Интернет бойынша сатылу мүмкіндігін білетін адамдар пайызы;</w:t>
      </w:r>
    </w:p>
    <w:p w14:paraId="11FEF3F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t</w:t>
      </w:r>
      <w:r w:rsidRPr="009B410A">
        <w:rPr>
          <w:rFonts w:ascii="Times New Roman" w:eastAsia="Times New Roman" w:hAnsi="Times New Roman" w:cs="Times New Roman"/>
          <w:sz w:val="24"/>
          <w:szCs w:val="24"/>
          <w:vertAlign w:val="subscript"/>
          <w:lang w:val="kk-KZ" w:eastAsia="ru-RU"/>
        </w:rPr>
        <w:t>i</w:t>
      </w:r>
      <w:r w:rsidRPr="009B410A">
        <w:rPr>
          <w:rFonts w:ascii="Times New Roman" w:eastAsia="Times New Roman" w:hAnsi="Times New Roman" w:cs="Times New Roman"/>
          <w:sz w:val="24"/>
          <w:szCs w:val="24"/>
          <w:lang w:val="kk-KZ" w:eastAsia="ru-RU"/>
        </w:rPr>
        <w:t xml:space="preserve"> – бұйымды алғысы келетін адамдар пайызы;</w:t>
      </w:r>
    </w:p>
    <w:p w14:paraId="7CE2448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с</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берілген тауарды Интернет бойынша (қауіпсіздіктің мүмкін болатын мәселелеріне көзқарас) сатып алу мүмкіндігін қарастырғысы келетін, оларға оның бар екендігі мәлімделген және оны алғылары келетіні ескерілген адамдар пайызы;</w:t>
      </w:r>
    </w:p>
    <w:p w14:paraId="0F6D2F7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h</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компьютерді меңгерген немесе қол жеткізген адамдар пайызы;</w:t>
      </w:r>
    </w:p>
    <w:p w14:paraId="6AC3ACE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proofErr w:type="spellStart"/>
      <w:r w:rsidRPr="009B410A">
        <w:rPr>
          <w:rFonts w:ascii="Times New Roman" w:eastAsia="Times New Roman" w:hAnsi="Times New Roman" w:cs="Times New Roman"/>
          <w:sz w:val="24"/>
          <w:szCs w:val="24"/>
          <w:lang w:val="en-US" w:eastAsia="ru-RU"/>
        </w:rPr>
        <w:t>n</w:t>
      </w:r>
      <w:r w:rsidRPr="009B410A">
        <w:rPr>
          <w:rFonts w:ascii="Times New Roman" w:eastAsia="Times New Roman" w:hAnsi="Times New Roman" w:cs="Times New Roman"/>
          <w:sz w:val="24"/>
          <w:szCs w:val="24"/>
          <w:vertAlign w:val="subscript"/>
          <w:lang w:val="en-US" w:eastAsia="ru-RU"/>
        </w:rPr>
        <w:t>i</w:t>
      </w:r>
      <w:proofErr w:type="spellEnd"/>
      <w:r w:rsidRPr="009B410A">
        <w:rPr>
          <w:rFonts w:ascii="Times New Roman" w:eastAsia="Times New Roman" w:hAnsi="Times New Roman" w:cs="Times New Roman"/>
          <w:sz w:val="24"/>
          <w:szCs w:val="24"/>
          <w:lang w:eastAsia="ru-RU"/>
        </w:rPr>
        <w:t xml:space="preserve"> – </w:t>
      </w:r>
      <w:r w:rsidRPr="009B410A">
        <w:rPr>
          <w:rFonts w:ascii="Times New Roman" w:eastAsia="Times New Roman" w:hAnsi="Times New Roman" w:cs="Times New Roman"/>
          <w:sz w:val="24"/>
          <w:szCs w:val="24"/>
          <w:lang w:val="kk-KZ" w:eastAsia="ru-RU"/>
        </w:rPr>
        <w:t>үйде немесе жұмыста Интернтке кіре алатын адамдар пайызы.</w:t>
      </w:r>
    </w:p>
    <w:p w14:paraId="6FCCA8E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h</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n</w:t>
      </w:r>
      <w:r w:rsidRPr="009B410A">
        <w:rPr>
          <w:rFonts w:ascii="Times New Roman" w:eastAsia="Times New Roman" w:hAnsi="Times New Roman" w:cs="Times New Roman"/>
          <w:sz w:val="24"/>
          <w:szCs w:val="24"/>
          <w:vertAlign w:val="subscript"/>
          <w:lang w:val="kk-KZ" w:eastAsia="ru-RU"/>
        </w:rPr>
        <w:t xml:space="preserve">i  </w:t>
      </w:r>
      <w:r w:rsidRPr="009B410A">
        <w:rPr>
          <w:rFonts w:ascii="Times New Roman" w:eastAsia="Times New Roman" w:hAnsi="Times New Roman" w:cs="Times New Roman"/>
          <w:sz w:val="24"/>
          <w:szCs w:val="24"/>
          <w:lang w:val="kk-KZ" w:eastAsia="ru-RU"/>
        </w:rPr>
        <w:t>электрондық дистрибуттық арнаға кіруді бағалау ретінде қарастыры-лады және технологияға қол жеткізілетіндігіне ғана негізделген. а</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t</w:t>
      </w:r>
      <w:r w:rsidRPr="009B410A">
        <w:rPr>
          <w:rFonts w:ascii="Times New Roman" w:eastAsia="Times New Roman" w:hAnsi="Times New Roman" w:cs="Times New Roman"/>
          <w:sz w:val="24"/>
          <w:szCs w:val="24"/>
          <w:vertAlign w:val="subscript"/>
          <w:lang w:val="kk-KZ" w:eastAsia="ru-RU"/>
        </w:rPr>
        <w:t>i</w:t>
      </w:r>
      <w:r w:rsidRPr="009B410A">
        <w:rPr>
          <w:rFonts w:ascii="Times New Roman" w:eastAsia="Times New Roman" w:hAnsi="Times New Roman" w:cs="Times New Roman"/>
          <w:sz w:val="24"/>
          <w:szCs w:val="24"/>
          <w:lang w:val="kk-KZ" w:eastAsia="ru-RU"/>
        </w:rPr>
        <w:t xml:space="preserve"> • с</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өрнегі байқау үшін сатып алу мүмкіндігі болып табылады, ол бір күні Интернет бойынша бұйым сатып алу дайындығына негізделген. Біз бұл формуланы, өнімдік категорияны сатудағы электрондық компонент нарығында үлесін алу мақсатында өзгерте аламыз.</w:t>
      </w:r>
    </w:p>
    <w:p w14:paraId="19788C5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tbl>
      <w:tblPr>
        <w:tblW w:w="5000" w:type="pct"/>
        <w:tblCellMar>
          <w:left w:w="0" w:type="dxa"/>
          <w:right w:w="0" w:type="dxa"/>
        </w:tblCellMar>
        <w:tblLook w:val="04A0" w:firstRow="1" w:lastRow="0" w:firstColumn="1" w:lastColumn="0" w:noHBand="0" w:noVBand="1"/>
      </w:tblPr>
      <w:tblGrid>
        <w:gridCol w:w="3190"/>
        <w:gridCol w:w="3190"/>
        <w:gridCol w:w="3191"/>
      </w:tblGrid>
      <w:tr w:rsidR="009B410A" w:rsidRPr="009B410A" w14:paraId="4D355046" w14:textId="77777777" w:rsidTr="009B410A">
        <w:tc>
          <w:tcPr>
            <w:tcW w:w="1666" w:type="pct"/>
            <w:tcMar>
              <w:top w:w="0" w:type="dxa"/>
              <w:left w:w="108" w:type="dxa"/>
              <w:bottom w:w="0" w:type="dxa"/>
              <w:right w:w="108" w:type="dxa"/>
            </w:tcMar>
            <w:hideMark/>
          </w:tcPr>
          <w:p w14:paraId="40ACF17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tc>
        <w:tc>
          <w:tcPr>
            <w:tcW w:w="1666" w:type="pct"/>
            <w:tcMar>
              <w:top w:w="0" w:type="dxa"/>
              <w:left w:w="108" w:type="dxa"/>
              <w:bottom w:w="0" w:type="dxa"/>
              <w:right w:w="108" w:type="dxa"/>
            </w:tcMar>
            <w:hideMark/>
          </w:tcPr>
          <w:p w14:paraId="45B973B2"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MS</w:t>
            </w:r>
            <w:r w:rsidRPr="009B410A">
              <w:rPr>
                <w:rFonts w:ascii="Times New Roman" w:eastAsia="Times New Roman" w:hAnsi="Times New Roman" w:cs="Times New Roman"/>
                <w:sz w:val="24"/>
                <w:szCs w:val="24"/>
                <w:vertAlign w:val="subscript"/>
                <w:lang w:val="kk-KZ" w:eastAsia="ru-RU"/>
              </w:rPr>
              <w:t>е</w:t>
            </w:r>
            <w:r w:rsidRPr="009B410A">
              <w:rPr>
                <w:rFonts w:ascii="Times New Roman" w:eastAsia="Times New Roman" w:hAnsi="Times New Roman" w:cs="Times New Roman"/>
                <w:sz w:val="24"/>
                <w:szCs w:val="24"/>
                <w:lang w:val="kk-KZ" w:eastAsia="ru-RU"/>
              </w:rPr>
              <w:t xml:space="preserve"> = а</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 t</w:t>
            </w:r>
            <w:r w:rsidRPr="009B410A">
              <w:rPr>
                <w:rFonts w:ascii="Times New Roman" w:eastAsia="Times New Roman" w:hAnsi="Times New Roman" w:cs="Times New Roman"/>
                <w:sz w:val="24"/>
                <w:szCs w:val="24"/>
                <w:vertAlign w:val="subscript"/>
                <w:lang w:val="kk-KZ" w:eastAsia="ru-RU"/>
              </w:rPr>
              <w:t>i</w:t>
            </w:r>
            <w:r w:rsidRPr="009B410A">
              <w:rPr>
                <w:rFonts w:ascii="Times New Roman" w:eastAsia="Times New Roman" w:hAnsi="Times New Roman" w:cs="Times New Roman"/>
                <w:sz w:val="24"/>
                <w:szCs w:val="24"/>
                <w:lang w:val="kk-KZ" w:eastAsia="ru-RU"/>
              </w:rPr>
              <w:t xml:space="preserve"> • с</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r</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 h</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n</w:t>
            </w:r>
            <w:r w:rsidRPr="009B410A">
              <w:rPr>
                <w:rFonts w:ascii="Times New Roman" w:eastAsia="Times New Roman" w:hAnsi="Times New Roman" w:cs="Times New Roman"/>
                <w:sz w:val="24"/>
                <w:szCs w:val="24"/>
                <w:vertAlign w:val="subscript"/>
                <w:lang w:val="kk-KZ" w:eastAsia="ru-RU"/>
              </w:rPr>
              <w:t xml:space="preserve">i </w:t>
            </w:r>
            <w:r w:rsidRPr="009B410A">
              <w:rPr>
                <w:rFonts w:ascii="Times New Roman" w:eastAsia="Times New Roman" w:hAnsi="Times New Roman" w:cs="Times New Roman"/>
                <w:sz w:val="24"/>
                <w:szCs w:val="24"/>
                <w:lang w:val="kk-KZ" w:eastAsia="ru-RU"/>
              </w:rPr>
              <w:t>= r</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w:t>
            </w:r>
          </w:p>
        </w:tc>
        <w:tc>
          <w:tcPr>
            <w:tcW w:w="1667" w:type="pct"/>
            <w:tcMar>
              <w:top w:w="0" w:type="dxa"/>
              <w:left w:w="108" w:type="dxa"/>
              <w:bottom w:w="0" w:type="dxa"/>
              <w:right w:w="108" w:type="dxa"/>
            </w:tcMar>
            <w:hideMark/>
          </w:tcPr>
          <w:p w14:paraId="76985657" w14:textId="77777777" w:rsidR="009B410A" w:rsidRPr="009B410A" w:rsidRDefault="009B410A" w:rsidP="008C6841">
            <w:pPr>
              <w:spacing w:after="0" w:line="240" w:lineRule="auto"/>
              <w:ind w:firstLine="709"/>
              <w:jc w:val="right"/>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(2.2)</w:t>
            </w:r>
          </w:p>
        </w:tc>
      </w:tr>
    </w:tbl>
    <w:p w14:paraId="1155734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мұнда MS</w:t>
      </w:r>
      <w:r w:rsidRPr="009B410A">
        <w:rPr>
          <w:rFonts w:ascii="Times New Roman" w:eastAsia="Times New Roman" w:hAnsi="Times New Roman" w:cs="Times New Roman"/>
          <w:sz w:val="24"/>
          <w:szCs w:val="24"/>
          <w:vertAlign w:val="subscript"/>
          <w:lang w:val="kk-KZ" w:eastAsia="ru-RU"/>
        </w:rPr>
        <w:t>е</w:t>
      </w:r>
      <w:r w:rsidRPr="009B410A">
        <w:rPr>
          <w:rFonts w:ascii="Times New Roman" w:eastAsia="Times New Roman" w:hAnsi="Times New Roman" w:cs="Times New Roman"/>
          <w:sz w:val="24"/>
          <w:szCs w:val="24"/>
          <w:lang w:val="kk-KZ" w:eastAsia="ru-RU"/>
        </w:rPr>
        <w:t xml:space="preserve"> – рыноктағы электрондық үлесі;</w:t>
      </w:r>
    </w:p>
    <w:p w14:paraId="16337F0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r</w:t>
      </w:r>
      <w:r w:rsidRPr="009B410A">
        <w:rPr>
          <w:rFonts w:ascii="Times New Roman" w:eastAsia="Times New Roman" w:hAnsi="Times New Roman" w:cs="Times New Roman"/>
          <w:sz w:val="24"/>
          <w:szCs w:val="24"/>
          <w:vertAlign w:val="subscript"/>
          <w:lang w:val="kk-KZ" w:eastAsia="ru-RU"/>
        </w:rPr>
        <w:t xml:space="preserve">і </w:t>
      </w:r>
      <w:r w:rsidRPr="009B410A">
        <w:rPr>
          <w:rFonts w:ascii="Times New Roman" w:eastAsia="Times New Roman" w:hAnsi="Times New Roman" w:cs="Times New Roman"/>
          <w:sz w:val="24"/>
          <w:szCs w:val="24"/>
          <w:lang w:val="kk-KZ" w:eastAsia="ru-RU"/>
        </w:rPr>
        <w:t>– бұйымды электрондық орта арқылы алатын және осы ортаны пайдалануды қайталайтын тұтынушылардың пайызы.</w:t>
      </w:r>
    </w:p>
    <w:p w14:paraId="509DC18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Хабардар болудың (а</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ықылас білдірудің (t</w:t>
      </w:r>
      <w:r w:rsidRPr="009B410A">
        <w:rPr>
          <w:rFonts w:ascii="Times New Roman" w:eastAsia="Times New Roman" w:hAnsi="Times New Roman" w:cs="Times New Roman"/>
          <w:sz w:val="24"/>
          <w:szCs w:val="24"/>
          <w:vertAlign w:val="subscript"/>
          <w:lang w:val="kk-KZ" w:eastAsia="ru-RU"/>
        </w:rPr>
        <w:t>i</w:t>
      </w:r>
      <w:r w:rsidRPr="009B410A">
        <w:rPr>
          <w:rFonts w:ascii="Times New Roman" w:eastAsia="Times New Roman" w:hAnsi="Times New Roman" w:cs="Times New Roman"/>
          <w:sz w:val="24"/>
          <w:szCs w:val="24"/>
          <w:lang w:val="kk-KZ" w:eastAsia="ru-RU"/>
        </w:rPr>
        <w:t>) және сенімнің (с</w:t>
      </w:r>
      <w:r w:rsidRPr="009B410A">
        <w:rPr>
          <w:rFonts w:ascii="Times New Roman" w:eastAsia="Times New Roman" w:hAnsi="Times New Roman" w:cs="Times New Roman"/>
          <w:sz w:val="24"/>
          <w:szCs w:val="24"/>
          <w:vertAlign w:val="subscript"/>
          <w:lang w:val="kk-KZ" w:eastAsia="ru-RU"/>
        </w:rPr>
        <w:t>і</w:t>
      </w:r>
      <w:r w:rsidRPr="009B410A">
        <w:rPr>
          <w:rFonts w:ascii="Times New Roman" w:eastAsia="Times New Roman" w:hAnsi="Times New Roman" w:cs="Times New Roman"/>
          <w:sz w:val="24"/>
          <w:szCs w:val="24"/>
          <w:lang w:val="kk-KZ" w:eastAsia="ru-RU"/>
        </w:rPr>
        <w:t xml:space="preserve">) орташа мәндері, мысалы 60 пайызды, 50 пайызды және 90 пайызды құрағанымен, осыған сәйкес (2.1) </w:t>
      </w:r>
      <w:r w:rsidRPr="009B410A">
        <w:rPr>
          <w:rFonts w:ascii="Times New Roman" w:eastAsia="Times New Roman" w:hAnsi="Times New Roman" w:cs="Times New Roman"/>
          <w:sz w:val="24"/>
          <w:szCs w:val="24"/>
          <w:lang w:val="kk-KZ" w:eastAsia="ru-RU"/>
        </w:rPr>
        <w:lastRenderedPageBreak/>
        <w:t xml:space="preserve">теңдеуінен – толық мүмкіндік, кәсіпкерлердің е-бизнесіне тартуға арналған қажетті мүмкіндігінен алыс жатқаны айқын бола түседі. </w:t>
      </w:r>
    </w:p>
    <w:p w14:paraId="4F17486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Егер біз сатып алушының қайта сатып алу мүмкіндігі 75 пайызға тең деп алсақ, бұл Интернет бойынша келешекте сатып алу мүмкіндігін төмендетеді және осыған орай рыноктағы үлесін шамамен 8 пайызға дейін (0.75*0.108) төмендетеді. Соңында, егер біз оптимистік болжам жасасақ,  хабардар болудың, ықылас білдірудің, сенімнің, қол жеткізудің және қайталаудың осындай көрсеткіштері барлық өнім категорияларына тән, біз сатып алудың шамамен 8% Интернетке көшеді деген қорытындыға келуімізге болар еді. (Кейбіреулері біршама жоғары деңгейге ие болған уақытта, тауарлардың көптеген категория-лары мүмкіндіктің анағұрлым төмен деңгейіне ие болады).</w:t>
      </w:r>
    </w:p>
    <w:p w14:paraId="4B40FC1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Көптеген кәсіпкерлер жеткізушілермен және көтерме сатып алушылармен қарым-қатынас жасау үшін Интернетті пайдаланудан гөрі тұтынушыларға интерактивтік түрде сатуға аз қызығушылық танытатыны - факт. </w:t>
      </w:r>
    </w:p>
    <w:p w14:paraId="17130CE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Кәсіпкерлер тұтынушыларға қарағанда не себепті коммуникацияны жүзеге асыруға, байланысқа түсуге, сатып алуға және интерактивтік сатуға көп ықылас білдірулерінің бірнеше себептері бар:</w:t>
      </w:r>
    </w:p>
    <w:p w14:paraId="50E346B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-компаниялар, әсіресе үлкен компаниялар электрондық коммуникация-лар үшін жақсы жабдықталған. Олар, осылайша Интернетті пайдалану-ды анағұрлым қолайлы және тез жасай отырып,  қол жетерлік компьютерлердің, желілердің көп санына ие болды. Корпоративтік Intranet-тің ерте танымал болуы айтарлықтай дәрежеде жете түсінудің нәтижесі болып табылды, сол себепті компьютерлеудің мәні ЖК жабдықталған орынның көптігінде емес, олардың бірлескен жұмысында;</w:t>
      </w:r>
    </w:p>
    <w:p w14:paraId="3A1C04C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-компаниялар шығынға анағұрлым зейін қояды, себебі жабдықтауда сақталынған әрбір доллар жаңадан түсетін пайданың долларына тең;</w:t>
      </w:r>
    </w:p>
    <w:p w14:paraId="5FEF8E7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-желілік қарым-қатынас әсіресе күшті ықпалға ие болады, өйткені корпорациялар, шығынды төмендетуге және тиімділікті арттыруға көзделген интерактивті стратегияларды құрайды. Жабдықтаудың жоға-ры технологиялық жүйесін жасауға жеткілікті ақша көлемін сала отырып, басқаларға солай істеуге және тиімділіктің одан арғы тізбегін жасауға көтермелеу осы компаниялар үшін табиғи реакция болып табылады;</w:t>
      </w:r>
    </w:p>
    <w:p w14:paraId="0439857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-көп іскер транзакциялар қашықтықтан жүргізілуде: факспен, поштамен  немесе EDI. Олар Интернетке оңай аударылады;</w:t>
      </w:r>
    </w:p>
    <w:p w14:paraId="2DC0C61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-іскер серіктестермен тығыз альянс жасау мүмкіндігі стратегиялық қатынас қалыптастыруға шығармашылық мүмкіндік немесе мәселелерді шешудің жаңа жолдарын бере алады.</w:t>
      </w:r>
    </w:p>
    <w:p w14:paraId="577D621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028C32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6D29A5C" w14:textId="1B97ECF4" w:rsidR="009B410A" w:rsidRPr="009B410A" w:rsidRDefault="009B410A" w:rsidP="002D1FE8">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рыноктағы бәсекелестік сипаттамасы</w:t>
      </w:r>
    </w:p>
    <w:p w14:paraId="48789F4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56843A1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Интернет рыноктарында тербеліс деңгейін талдаудың көп жолы бар. Осы саладағы кейбір зерттеулер электрондық рыноктар сипаттамаларын қарапайым рыноктармен салыстырады, бұл кезде басқалары электрондық рынок шегінде тәртіпті талдайды. Бұл секцияда біз электрондық рыноктағы тиімділіктің төрт көрсеткішін анықтаймыз: бағалар деңгейі, бағалау оралымдылығы, қайта бағалау шығындары және бағалау дисперсиясы.</w:t>
      </w:r>
    </w:p>
    <w:p w14:paraId="29B48A0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 рыногының тиімділік көрсеткіштері:</w:t>
      </w:r>
    </w:p>
    <w:p w14:paraId="0E1EE41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-бағалар деңгейлері: Интернеттегі бағалар шынымен төмен бе?</w:t>
      </w:r>
    </w:p>
    <w:p w14:paraId="522101C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-бағалау оралымдылығы: Интернеттегі сатып  алушылар бағаның аздап өзгеруіне шынымен анағұрлым сезімтал ма? </w:t>
      </w:r>
    </w:p>
    <w:p w14:paraId="574DE45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-қайта бағалау шығындары: Сатушылар Интернетте өз бағаларын жиірек немесе сирек өзгерте ме?</w:t>
      </w:r>
    </w:p>
    <w:p w14:paraId="623DCE8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-бағалау дисперсиясы: Интернеттегі ең жоғары және ең төмен бағалар арасында аз болса да айырмашылық бар ма?</w:t>
      </w:r>
    </w:p>
    <w:p w14:paraId="7828BA4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4D7E25B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7B795F5A" w14:textId="2E6A1732" w:rsidR="009B410A" w:rsidRPr="009B410A" w:rsidRDefault="009B410A" w:rsidP="002D1FE8">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Баға деңгейлері</w:t>
      </w:r>
    </w:p>
    <w:p w14:paraId="7A4BEE49"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4E016A9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рыноктар қарапайым рыноктарға қарағанда не себепті анағұрлым тиімді деп ойлауға болатын ең жиі себеп – ақпараттық ассиметрия-ның төмендеуі, олар анағұрлым төмен ізденіс шығындарының нәтижесі болып табылады. Экономикалық теория – тұтынушының ізденіс шығындарының жоғарылығы тепе-теңдіктегі шектеулі өзіндік құнынан жоғары бағаға алып келеді. Егер электрондық рыноктар тұтынушыларға бөлшек сатушылар мен тауар ұсыну бағаларын анағұрлым оңай анықтауға мүмкіндік берсе, осы іздену шығындарының анағұрлым төмендігі әрі гомогендік, әрі дифференцияланған тауарлардың анағұрлым төмен бағаларына алып келеді. </w:t>
      </w:r>
    </w:p>
    <w:p w14:paraId="2764123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Сатушы құнының анағұрлым пайдалы құрылымдары электрондық рыноктарда баға деңгейлерінің төмендеуіне әсер етуі мүмкін. Бұл екі жолмен анағұрлым тиімді бағаның қалыптасуына әкелуі мүмкін. Біріншіден, төменгі кіріспе бөгеулер, нақты және әлеуетті бәсекелестікті ұлғайта отырып, қолданыстағы рыноктық қатысушылар бекіткен баға үстемелерін шектеуі мүмкін. Екіншіден, құнының жағымды құрылымдары, кез келген баға үстемелері негізделген негізгі шығындарды төмендету арқылы  ұзақ мерзімдік болашақта анағұрлым теңдес бағаларға алып келуі мүмкін.</w:t>
      </w:r>
    </w:p>
    <w:p w14:paraId="451C2B5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64B679A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4765AA20" w14:textId="3708A8BD" w:rsidR="009B410A" w:rsidRPr="009B410A" w:rsidRDefault="009B410A" w:rsidP="002D1FE8">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Баға оралымдылығы</w:t>
      </w:r>
    </w:p>
    <w:p w14:paraId="223C58C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026AB4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Баға оралымдылығы - тұтынушылар сұранысы баға өзгеруіне сезімтал екендігін көрсетеді. Тұтыну заттары үшін баға оралымдылығы рыноктық тиімділіктің маңызды сигналы болуы мүмкін. Тиімді рыноктарда тұтынушылар, тым болмаса егер сатушы немесе алмастырушы бұйымдар бар болса, бағаның аздап өзгеруіне анағұрлым сезімтал, Баға оралымдылығының анағұрлым жоғары (абсолюттік) мәндері ізденіс шығындарының немесе сатып алушыларды Интернетке қосылу шығындарының аздығынан болуы мүмкін. </w:t>
      </w:r>
    </w:p>
    <w:p w14:paraId="668491B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Дифференциацияланған тауарлар үшін тиімділік жөнінде қорытындыға арналған баға оралымдылығын мөлшерлеу үлкен интерпретацияны талап етеді. Дифференциацияланған тауарлар рыноктарында Интернеттегі баға сезімтал-дығы қарапайым дүкендермен салыстырғанда екі себеппен анағұрлым төмен болуы мүмкін. Біріншіден, Интернетте ізденіс шығындарының төмендігі тұтынушыларға жоғары дәлдікпен олардың талаптарына жақсырақ жауап беретін бұйымдарды табуға мүмкіндік береді. Екіншіден, өнімнің онлайндық бағалауы бұйым сипаттамасына қатысты «ақпараттың жоғалуына» алып келуі мүмкін, сосын ақпараттың жетіспеушілігі тұтынушылардың жоғары дәрежедегі сауда белгісі сапасының, типінің басқа көрсеткіштеріне сенім артуына мәжбүр етуі мүмкін. Осы факторлардың кез келгені баға бәсекесін жеңілдетер еді, алайда олар тиімділікке жағымсыз әсер етеді. </w:t>
      </w:r>
    </w:p>
    <w:p w14:paraId="06D7D13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Алайда тұтынушыны өнім туралы үздік ақпаратпен қамтамасыз ету баға бәсекесін жеңілдетеді және сатып алушының азық-түлікке ерекше ықыласын арттырады.</w:t>
      </w:r>
    </w:p>
    <w:p w14:paraId="2080D1E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901CFA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25891F9A" w14:textId="0B0380E6"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Қайта бағалау шығындары</w:t>
      </w:r>
    </w:p>
    <w:p w14:paraId="188E252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2034D4B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Қайта бағалау шығындары – бұл сатушылар қайта бағалауды жүргізгенде болатын шығындар. Қарапайым түсінікте қайта бағалау шығындары, ең алдымен, сөрелердегі бұйымдарды физикалық қайта таңбалау шығындарынан алынады. Электрондық рынокта қайта бағалау шығындары төмен болуы керек, ең алдымен деректердің орталық базасында бағалардың жалғыз өзгеру құнынан тұруы керек деп болжаймыз. Қайта бағалау шығындары - тиімділік контекстін-де маңызды, себебі қайта бағалаудың жоғары шығындары баға тұрақтылығына әкеледі. Баға тұрақтылығы, егер бағалардың өзгеруі олардың құнынан асып түссе ғана, сатушылар бағаларға өзгертулер жасайтындықтан қалыптасады. Егер қайта бағалау шығындары жоғары болса, сатушылар қайта бағалауды аздап жасауға да онша құлқы болмайды, сосын нәтижесінде сұраныс пен ұсыныста шағын өзгерістерге бейімделу қабілеті азаяды.</w:t>
      </w:r>
    </w:p>
    <w:p w14:paraId="25D222A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987A81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4489B9A" w14:textId="20749FA5"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рыноктағы бағалық дисперсия көздері</w:t>
      </w:r>
    </w:p>
    <w:p w14:paraId="6086389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835C3F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 уақытқа дейін баға деңгейлерін, баға оралымдылығын және қайта бағалау шығындарын зерттеу – Интернет рыноктық тиімділіктің артуына қызмет етеді, Интернет нарығында елеулі баға бытырауының болуы және оның уақыттағы тұрақтылығы электрондық рыноктағы бәсекелестік туралы мәселені көтереді деген гипотезаға қарсы келмейді.</w:t>
      </w:r>
    </w:p>
    <w:p w14:paraId="61AA81D0"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6542E82B"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52D1B122" w14:textId="351D373D"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Өнімнің біртекті еместігі: ескерілмеген факторлар мәні</w:t>
      </w:r>
    </w:p>
    <w:p w14:paraId="5185345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7E353F3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Онлайндағы баға бытырауының бірінші, әрі анағұрлым айқын дереккөзі - өнімнің біртекті еместігі. Егер салыстырылатын тауарлардың қалай да болсын айырмасы болса, онда олардың бағалары да сондай әр түрлі болатындығына таң қалатын ештеңе жоқ. Егер өнімдер физикалық түрде ұқсас болғанмен, олар әрдайым жақсы алмастырушы бола алмайды.  Аргументтің мына түрін тауар-ларға да қолдану қиын емес, олар сатылудан кейінгі қызмет көрсетудің, жарнаманың немесе тіпті тұтынушылардың хабардарлығының түрлі деңгей-лерімен жүреді.</w:t>
      </w:r>
    </w:p>
    <w:p w14:paraId="5BC75D3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Көптеген жағдайларда қонымды әдіс - өнімнің біртекті еместігін тауардың тек материалдық немесе маңызды сипаттамаларына ғана қатысты қарастыру болып табылады. Бұл сипаттамаларға - өнімнің физикалық қасиеттеріндегі айырмашылық немесе сатушы қызметіндегі тауармен бірге (мысалы, қайтару шарты) алынатын айырмашылық енеді. </w:t>
      </w:r>
    </w:p>
    <w:p w14:paraId="0A4F522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Өнімнің бір текті еместігінің осы типін, регрессиялық талдауды пайдалана отырып, бақылауға болады. Регрессилық модельдер - өнімдер (гомогендік) сипаттамалардың (гетерогендік) тізбегі ретінде моделденуі мүмкін деп болжайды. Тауар бағасының кері кету теңдеуінде бұйым сипаттамасы кезіндегі коэффициенттер осы сиапттамалардың жасырын бағалары ретінде түсінік алуы мүмкін. Жасырын бағалар, рынок белгілі параметрді қалай бағалайтынын көрсетеді. Мысалы, компьютер бағасы еске сақтау, микропроцессор, диск көлемінің және басқа компоненттердің функциясы ретінде бейнеленуі мүмкін. </w:t>
      </w:r>
    </w:p>
    <w:p w14:paraId="200FA03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2818BF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EE22DA3" w14:textId="3CDCDEC6"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Ыңғайлылық және тұтынушылық тәжірибе: уақыт мәні</w:t>
      </w:r>
    </w:p>
    <w:p w14:paraId="15FD899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A93B18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Дүкендерге бару ыңғайлылығы интерактивтік рыноктарда баға дисперсия-сының бастау көзі болып қызмет ете алады. Тауарларды табу және бағалау мүмкіндігін жеңілдететін сатушылар уақытты ескергіш тұтынушылар үшін баға үстемесін енгізу мүмкіндігін алуына болады. Ыңғайлылық деректері ізденістің жақсы құралдарын, ұсыныстың жалпы аспаптық құралдарын, тауарларға кеңінен шолу, тауар үлгілерін (мысалы, кітап тарауын және компакт-дискілер-ден аудиоүзінді) және анағұрлым жылдам есептік қызметтерді енгізе алады. </w:t>
      </w:r>
    </w:p>
    <w:p w14:paraId="4F0F76A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аталған факторлардың кейбіреулері таза ақпараттық екенін атап өту маңызды. Гомогендік тауарларды бағалауға арналған тауар жайлы ақпараттың, әдетте, физикалық тауардан айырмашылығы бар. Гомогендік тауар туралы анағұрлым жақсы ақпаратпен қамтамасыз ету сатушыға стратегиялық басымдық бермейді. Алайда тауар жайлы ақпарат  - белгілі ізденіс шығындары-на немесе Интернет рыногына қосу шығынына байланысты пайдалы стратегиялық құрал екендігі әбден мүмкін. Сатып алушылар, тауар туралы ғажайып ақпараттың арқасында сайтқа шыға алады, сосын басқа сайттағы тауар іздеуде ізденіс  шығынының жоғары болуына қарай, осы сайттан (анағұрлым төмен бағаға) сатып алуды ұйғарады.</w:t>
      </w:r>
    </w:p>
    <w:p w14:paraId="1F484F0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40D396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7A610208" w14:textId="005B33F1"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Қолайлылық: виртуалды жылжымайтын мүлік мәні</w:t>
      </w:r>
    </w:p>
    <w:p w14:paraId="7697DB4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AC3FBB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Қарапайым бөлшектеп сатушылардың табыстылығы үшін үш нәрсе қажет – орналастыру, орналастыру, тағы да орналастыру. География айтарлықтай дәрежеде, дүкен жайлы білетін және содан сатып алатын әлеуетті сатып алушыларды жинап алуды анықтайды. Көптеген сатушылар Интернетте Интернет порталдардағы ең жақсы адрестерді табанды түрде сатып алады да, интерактивтік, баспа және дәстүрлі ХАЖ жарнамаға жүз миллиондаған долларлар жұмсайды. Бұл, клиенттер үшін қол жеткізу немесе «виртуалдық жылжымайтын мүлік» интерактивті рыноктарда дәл қарапайым рыноктарға арналған физикалық жылжымайтын мүлік сияқты маңызды болуы мүмкін екендігін білдіреді. Қолайлылықтың маңыздылығы бөлшектеп сатушыларды Интернеттен іздеуге кететін жоғары ізденіс шығындарынан жасалуы мүмкін. Осы ізденіс шығындары қол жетерлік ақпарат көлеміне пропорционал. Кейде бөлшектік онлайндық сатушыларды іздеу бір мая шөптің арасынан ине іздеумен тең. Осылайша, Amason.com тәрізді кейбір бөлшек сатушылар, өздерінің сауда белгілерін белгісіз ету үшін жарнамаға стратегиялық маркетинг пен көп шығындарды пайдаланып жатқан кезде, басқа олардан гөрі аздап белгілі бөлшек сатушыларды  миллиондаған Интернет-сайттардан іздеп табу өте қиын.</w:t>
      </w:r>
    </w:p>
    <w:p w14:paraId="0B9BD1D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Ақпараттық сатып алушылар дүкендерден ең төмен бағалармен сатып алады, сол кезде ақпарат алмаған сатып алушылар, егер олар білетін баға өздері күткеннен анағұрлым төмен болса, сатып алады. Нәтижесінде – сатушылар бағалар бойынша айрықшаланады: кейбір бөлшек сатушылар ұдайы төмен бағаны белгілейді, бұл кезде басқа бөлшек сатушылар үнемі немесе кейде таңдаулы заттардың бағаларын төмендетіп, жаппай сатуды ұйымдастырады. </w:t>
      </w:r>
    </w:p>
    <w:p w14:paraId="73CD76A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2C4DA6D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A05FBD7" w14:textId="45E44824" w:rsidR="009B410A" w:rsidRPr="009B410A"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Сауда белгісі және сенім</w:t>
      </w:r>
    </w:p>
    <w:p w14:paraId="129B455E"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69C0EDF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Сенім электрондық рыноктарда, сатып алушылар мен сатушылар арасындағы кеңістік және уақыттық бөлінуге байланысты ерекше маңыздылық-қа ие болуы мүмкін. Интернет транзакциясына әдетте ақшамен және тауарлармен бір мезгілдік алмасу кірмейді, оның орнына олар, әдетте, әр түрлі орындардан түрлі мезгілдерде беріледі. Бөлшектік сатушыны таңдаған кезде, тұтынушы екінші жақтың – тауарларды нақты жеткізу жөніндегі емес, сатып алушыларды өзіне тартушы және олардың несие карточкаларын босатушы сарапшы екенінен сақ болуы керек. Тұтынушылар көбірек төлеуге ниет білдіруі, бірақ бөлшек сатушыларға сенімді болуы мүмкін. Осылайша, бөлшек сатушыларға сенімнің бірыңғай еместігі интерактивті рыноктарда баға дисперсиясына әкелуі мүмкін. </w:t>
      </w:r>
    </w:p>
    <w:p w14:paraId="29759C6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FFF0C4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687550B" w14:textId="61B071A2" w:rsidR="009B410A" w:rsidRPr="002460C3" w:rsidRDefault="009B410A" w:rsidP="002D7AFF">
      <w:pPr>
        <w:spacing w:after="0" w:line="240" w:lineRule="auto"/>
        <w:ind w:firstLine="709"/>
        <w:jc w:val="center"/>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Баға дискриминациясы</w:t>
      </w:r>
    </w:p>
    <w:p w14:paraId="60D63886" w14:textId="77777777" w:rsidR="009B410A" w:rsidRPr="002460C3"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54348F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талқыланған баға бытырауының дереккөздері бөлшек сатушылар арасындағы бағалардың айырмашылығын қарастырады. Баға бытырауы белгілі бөлшек сатушы сатып алушының төлеуге дайындығына негізделген түрлі бағалар белгілеген кезде де тууы мүмкін. Осы дискримина-цияның баға стратегиялары  Интернет рыноктарында екі себеппен ерекше маңызы болуы мүмкін. Біріншіден, Интернет тұтынушыларға сатушының бағаларға қатысты ақпаратын оңай жинауға мүмкіндік берсе, сол бір сипаттамалар бөлшек сатушыларға тұтынушылар сипаттамаларына қатысты ең жақсы ақпараттарды жинауға мүмкіндік береді. Екіншіден, қайта бағалаудың төмен шығындары бөлшек сатушылар үшін онлайнда бағалардың динамикалық өзгеруін анағұрлым тиімді ете алады. Соңғы нәтиже – Интернет бағалары түрлі сатушыларда, түрлі мезгілде, түрлі сатып алушылар үшін  белгілі мағынаға ұмтылуы тиісті емес.</w:t>
      </w:r>
    </w:p>
    <w:p w14:paraId="515409B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 сатушыларында сатып алушылардың баға дискриминациясына арналған көп жолдар бар. Олардың бірі, бағаны сезгіш тұтынушылар, басқа тұтынушыларға қарағанда, уақытты анағұрлым төмен сезінетіні - факт. Мұндай жағдайда сатушылар тұтынушылардың төлеуге дайындығына сәйкес бағаны өздері таңдау үшін «бағалар» мен «қолайлылық деңгейлерінің» тұтас мәзірін жасай алады. Тұтынушы, аз уақыт кететін тәсілмен алынатын анағұрлым жоғары бағамен салыстырғанда, төмен бағамен алу үшін, ыңғайсыз немесе көп уақыт алатын процесті пайдалануы қажет.</w:t>
      </w:r>
    </w:p>
    <w:p w14:paraId="2005C2B2" w14:textId="77777777" w:rsidR="009B410A" w:rsidRPr="002460C3" w:rsidRDefault="009B410A" w:rsidP="008C6841">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180ADAE4" w14:textId="77777777" w:rsidR="00F34803" w:rsidRPr="002460C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bookmarkStart w:id="0" w:name="_Toc163198614"/>
      <w:r w:rsidRPr="00F34803">
        <w:rPr>
          <w:rFonts w:ascii="Times New Roman" w:eastAsia="Times New Roman" w:hAnsi="Times New Roman" w:cs="Times New Roman"/>
          <w:kern w:val="36"/>
          <w:sz w:val="24"/>
          <w:szCs w:val="24"/>
          <w:lang w:val="kk-KZ" w:eastAsia="ru-RU"/>
        </w:rPr>
        <w:t>Internet төлемдік жүйелер</w:t>
      </w:r>
      <w:bookmarkEnd w:id="0"/>
    </w:p>
    <w:p w14:paraId="737C2774" w14:textId="77777777" w:rsidR="00F34803" w:rsidRPr="002460C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7D028A0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Жоғарыда сипатталған технологиялар Internet ортасында төлемдік жүйелерді жүзеге асырудың негізі болып қызмет етеді. Бүгінгі күні қолданыстағы төлемдік жүйелердің саны бірнеше ондықты құрайды. Әр түрлілігіне қарамастан, оларды негізгі төрт топқа бөлуге болады:</w:t>
      </w:r>
    </w:p>
    <w:p w14:paraId="6576C06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деректің қауіпсіз берілуін қамтамасыз ететін байланыс сеансының хаттамалары;</w:t>
      </w:r>
    </w:p>
    <w:p w14:paraId="17C02BBA"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пластикалық карталар негізіндегі жүйелер</w:t>
      </w:r>
      <w:bookmarkStart w:id="1" w:name="OCRUncertain009"/>
      <w:bookmarkEnd w:id="1"/>
      <w:r w:rsidRPr="00F34803">
        <w:rPr>
          <w:rFonts w:ascii="Times New Roman" w:eastAsia="Times New Roman" w:hAnsi="Times New Roman" w:cs="Times New Roman"/>
          <w:sz w:val="24"/>
          <w:szCs w:val="24"/>
          <w:lang w:val="kk-KZ" w:eastAsia="ru-RU"/>
        </w:rPr>
        <w:t>;</w:t>
      </w:r>
    </w:p>
    <w:p w14:paraId="425A3F2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смарт-карталар негізіндегі төлемдік жү</w:t>
      </w:r>
      <w:bookmarkStart w:id="2" w:name="OCRUncertain010"/>
      <w:r w:rsidRPr="00F34803">
        <w:rPr>
          <w:rFonts w:ascii="Times New Roman" w:eastAsia="Times New Roman" w:hAnsi="Times New Roman" w:cs="Times New Roman"/>
          <w:sz w:val="24"/>
          <w:szCs w:val="24"/>
          <w:lang w:val="kk-KZ" w:eastAsia="ru-RU"/>
        </w:rPr>
        <w:t xml:space="preserve">йелері; </w:t>
      </w:r>
      <w:bookmarkEnd w:id="2"/>
    </w:p>
    <w:p w14:paraId="1B35D16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электрондық қолма-қол ақша.</w:t>
      </w:r>
    </w:p>
    <w:p w14:paraId="7AAF172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2A186952"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058D3826" w14:textId="73280E31"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3" w:name="_Toc163198615"/>
      <w:bookmarkEnd w:id="3"/>
      <w:r w:rsidRPr="00F34803">
        <w:rPr>
          <w:rFonts w:ascii="Times New Roman" w:eastAsia="Times New Roman" w:hAnsi="Times New Roman" w:cs="Times New Roman"/>
          <w:kern w:val="36"/>
          <w:sz w:val="24"/>
          <w:szCs w:val="24"/>
          <w:lang w:val="kk-KZ" w:eastAsia="ru-RU"/>
        </w:rPr>
        <w:t>Деректердің қауіпсіз берілуін қамтамасыз ететін байланыс   сеансының хаттамалары</w:t>
      </w:r>
    </w:p>
    <w:p w14:paraId="15AFB69D"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b/>
          <w:bCs/>
          <w:kern w:val="36"/>
          <w:sz w:val="24"/>
          <w:szCs w:val="24"/>
          <w:lang w:val="kk-KZ" w:eastAsia="ru-RU"/>
        </w:rPr>
        <w:t> </w:t>
      </w:r>
    </w:p>
    <w:p w14:paraId="10FD705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Internet арқылы тауарға төлем жүргізудің бірінші және ең қарапайым әдісі ашық мәтінмен алмасу болып табылады. Шын мәнісінде, оны тіпті төлемдік жүйе деп атауға болмайды. Төлем жасаудың осы тәсілі кезінде сатып алушы, мысалы өзінің кредиттік картасы туралы, телефон арқылы тапсырыс берген сияқты, ешбір ерекше қауіпсіздік шараларсыз-ақ ақпарат жібереді. Осындай берілістің кемшіліктері айқын: ақпарат арнайы сүзгілердің көмегімен оп-оңай жолдан ұсталынуы және  пайдаланылуы карта иесіне зиянын тигізуі мүмкін; сатушыда, төлемнен бас тартуға байланысты қиындықтар тууы мүмкін. Бірнеше жыл бұрын кеңінен қолданылған бұл әдіс бүгінгі күні практикалық түрде қолданылмайды. Ол, ауыстыруды шифрлауды қолданатын жүйелермен алмастырылды, мұнда төлем жүргізу - Internet бойынша жіберілетін деректерді қамтамасыз ететін, байланыс сеансының қауіпсіз және қорғалған хаттамаларын пайдаланатын кредиттік карта туралы ақпаратты жіберу арқылы жүргізіледі. Байланыс сеансының ең көп таралған хаттамасы бүгінгі күні Secure Socket Layer Protocol (SSL) болып табылады, бұл Netscape компаниясы жасаған хаттама. Шын мәнінде SSL төлемдік жүйе болып табылмайды және Internet бойынша төлем жүргізуге арналған деректердің ғана емес, сондай-ақ кез келген басқа ақпараттың да қауіпсіз берілуін қамтамасыз етуге арналған.  </w:t>
      </w:r>
    </w:p>
    <w:p w14:paraId="65CB8222"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4B4C4BF6"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490AEEA3" w14:textId="62B55640"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4" w:name="_Toc163198616"/>
      <w:r w:rsidRPr="00F34803">
        <w:rPr>
          <w:rFonts w:ascii="Times New Roman" w:eastAsia="Times New Roman" w:hAnsi="Times New Roman" w:cs="Times New Roman"/>
          <w:kern w:val="36"/>
          <w:sz w:val="24"/>
          <w:szCs w:val="24"/>
          <w:lang w:val="kk-KZ" w:eastAsia="ru-RU"/>
        </w:rPr>
        <w:t>Пластикалық карталар негізіндегі жүйелер</w:t>
      </w:r>
      <w:bookmarkEnd w:id="4"/>
    </w:p>
    <w:p w14:paraId="4371CDFD"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7FF8368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Қолданыстағы төлемдік жүйелердің ішінде басты орынды, кредиттік карталарды пайдаланатын жүйелер алады. Internet-те есептесуге арналған пластикалық карталар табысы төлем жүргізудің осындай түрінің әдетке айналуына байланысты, бұл көбінесе шынайы өмірдегі төлем жүргізуге ұқсас және Internet-тегі көптеген транзакциялар бүгінгі күні төлем жүргізудің дәл осы түрін қолдану арқылы жасалуда. Жоғарыда сипатталған SSL хаттамасы көптеген жағдайларда пластикалық карталар туралы ақпаратты беруге қолданылады. Алайда бұл әдістің кейбір кемшіліктері де бар. Транзакция кезінде ақпаратты жолдан ұстап алу практикалық мүмкін емес, маңызды ақпарат сатушы серверінде немқұрайды сақталған жағдайда оған қаскүнемдер-дің қатынасу қаупі тууы мүмкін. Оның үстіне, сатушыда да, сатып алушы да  саудагердің немесе пайдаланушының жеке тұлғасының (identity) нақты тұлғасын келтіру немесе ауыстыру мүмкіндігі бар. Фирма өзі туралы анық емес ақпарат беруі мүмкін, ал сатып алушы сатып алуы мүмкін, сосын төлем жасаудан бас тартуы мүмкін – қолы қойылмағандықтан, нақ ол өз картасын пайдаланғанын дәлелдеу практикалық түрде мүмкін емес.  </w:t>
      </w:r>
    </w:p>
    <w:p w14:paraId="7050CE2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Жоғарыда аталған кемшіліктерді жоюға арналған жаңа технология - SET (Secure Electronic Transaction specification) хаттамасы болып табылады. SET саралауы – кредиттік карталарды пайдалану арқылы тауарларға төлем жүргізу қауіпсіздігі жөніндегі ең басты шешімдерінің бірі болып табылады. SET Netscape, IBM, Verisign және т.б. қолдауымен MasterCard және Visa компания-лары жасап шығарған. SET саралауының негізінде көпшілік кілттері мен цифрлық сертификаттарды пайдаланудағы криптография жатады. Технологияға сәйкес, желі бойынша берілетін карточка нөмірі клиенттің электрондық қол қоюын пайдалану арқылы шифрланады. Шифрды айырып оқуды, карточкалар бойынша транзакцияға өңдеу жүргізетін өкілетті банктер мен компаниялар ғана жүзеге асырады. SET хаттамасы клиенттерді ықылассыз сатушылардан қорғау-ды және сатушыларды ұқсатып жасалған немесе ұрланған құжаттар арқылы  жасалатын алаяқтықтан қорғауды қамтамасыз етуі керек. Бүгінгі күні SET кемшіліктері – SET-тің барлық қатысушылары сәйкес программалық қамтама-сыз етуді өздерінде бекітуі болып табылады, бұл айтарлықтай инвестицияны талап етеді. Бұдан басқа, фирмалар тестілеу жүргізгеннен кейін, транзакцияны жүргізудің, шифрлау операциясына байланысты 30 секундқа жететін жеткілік-сіз жоғары жылдамдығы туралы пікірлер айтылуда. Осыған қарамастан  SET хаттамасы Internet электрондық коммерциясының болашағы ретінде қарасты-рылады және оны жаңа, анағұрлым жоғары деңгейге көтеруге арналған болып саналады. </w:t>
      </w:r>
    </w:p>
    <w:p w14:paraId="6701AAC6"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Пластикалық карталарды қолданудағы шектеулерінің бірі - жүргізілетін сауданың 5$ жуығын құрайтын төменгі шегінің шектеуі болып табылады. Әрбір транзакцияны жүргізгені үшін карточка эмитенті транзакция сомасының 1,5-3%, бірақ 20 центтен аспайтындай алатындықтан, төменгі бағалау диапазо-нында тауарларға төлем жасауды жүргізу тиімсіз болады. Бәрібір кейбір фирма-лар кредиттік сұлбаны ұсақ төлемдер орталығына таратуға талпыныс жасауда және өңдеу олардың сомасы белгілі шамаға жеткенде ғана орындалуы үшін клиринг пен процессингті жүргізу шығынын төмендету мақсатында ұсақ транзакцияларды жинау механизмін жасауда [5].</w:t>
      </w:r>
    </w:p>
    <w:p w14:paraId="46014A7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3A929D95"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25B43B9E" w14:textId="7F89AD1F"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5" w:name="OCRUncertain030"/>
      <w:bookmarkStart w:id="6" w:name="_Toc163198617"/>
      <w:bookmarkEnd w:id="5"/>
      <w:bookmarkEnd w:id="6"/>
      <w:r w:rsidRPr="00F34803">
        <w:rPr>
          <w:rFonts w:ascii="Times New Roman" w:eastAsia="Times New Roman" w:hAnsi="Times New Roman" w:cs="Times New Roman"/>
          <w:kern w:val="36"/>
          <w:sz w:val="24"/>
          <w:szCs w:val="24"/>
          <w:lang w:val="kk-KZ" w:eastAsia="ru-RU"/>
        </w:rPr>
        <w:t>Смарт-карталар</w:t>
      </w:r>
    </w:p>
    <w:p w14:paraId="0E5FD1C0"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0CFE72D1"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Қазіргі заманғы смарт-карта - процессоры, еске сақтағышы, программалық қамтамасыз етуі және ақпаратты енгізу/шығару жүйесі бар шағын компьютер болып табылады. Кез келген жүйенің пластикалық карточкалар базасында маңызды сипаттамаларының бірі – оның қауіпсіздігі. Смарт-карталардың тағы бір қасиеті – олардың көп функционалдылығы, яғни бір ғана карточканы түрлі қаржы қосымшаларында және түрлі коммуникациялық инфрақұрылымдарда пайдалану мүмкіндігі. Смарт-карталар негізінде қолма-қол цифрлық ақшалар құпиялылық пен анонимдіктің қажетті деңгейін қамтамасыз етіп қана қоймай, төлегенін растау орталығымен байланысуды талап етпейді. Осыған орай транзакция құны нолге құлдырайды. Смарт-карталардың аталған қасиеттері төлемдік жүйенің осы түрінің біртіндеп таралуын болжауға мүмкіндік береді. Алайда оларды Internet бойынша төлеу құралы ретінде қолдану үшін жеке компьютерлерге арналған оқылатын шалғай құрылғылардың кеңінен таралуын талап етеді. </w:t>
      </w:r>
    </w:p>
    <w:p w14:paraId="18877B05"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2087200C"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7AE52CCB" w14:textId="5FC374F2"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7" w:name="_Toc163198618"/>
      <w:r w:rsidRPr="00F34803">
        <w:rPr>
          <w:rFonts w:ascii="Times New Roman" w:eastAsia="Times New Roman" w:hAnsi="Times New Roman" w:cs="Times New Roman"/>
          <w:kern w:val="36"/>
          <w:sz w:val="24"/>
          <w:szCs w:val="24"/>
          <w:lang w:val="kk-KZ" w:eastAsia="ru-RU"/>
        </w:rPr>
        <w:t>Цифрлық ақшалар</w:t>
      </w:r>
      <w:bookmarkEnd w:id="7"/>
    </w:p>
    <w:p w14:paraId="44F4700A"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707B190E" w14:textId="77777777" w:rsidR="00F34803" w:rsidRPr="00F34803" w:rsidRDefault="00F34803" w:rsidP="008C6841">
      <w:pPr>
        <w:spacing w:after="0" w:line="240" w:lineRule="auto"/>
        <w:ind w:firstLine="709"/>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Internet-те есептесудің жаңа түрі цифрлық қолма-қол ақша болып табылады. «Цифрлық қолма-қол ақша» термині электрондық төлемдік жүйелердің санатын анықтайды, олар қолма-қол ақшаның басымдығын шынайы өмірден  Internet әлеміне көшіруге тырысады. Цифрлық қолма-қол ақша – бұл өте үлкен сандар немесе файлдар, олар ақша белгілерінің қызмет-терін атқарады. Басқа төлемдік жүйелерден айырмашылығы – бұл файлдар туралы жазба емес, ақшаның өзі.</w:t>
      </w:r>
    </w:p>
    <w:p w14:paraId="3D7D1DB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Жүйелердің цифрлық қолма-қол ақшаны пайдаланумен жүретін сенімді жұмысы криптографияның жаңа заманғы әдістерін қамтамасыз етеді:  ашық кілтті криптографияның, электрондық қол қоюдың және электрондық «көзсіз» қол қоюдың алгоритмдері. Осындай жүйелердің қызмет етуіне кететін шығын өте аз. Есептеу сұлбаларында кредиттік карталардың, яғни процессингтік компаниялардың транзакцияны төлеуде айтарлықтай шығынның болмауы оларды микротөлемдер, яғни ең төменгі – бір доллардан төмен бағалар диапазонында есептеу үшін қолдануға мүмкіндік береді. Бұдан басқа, цифрлық қолма-қол ақша толық анонимділікті қамтамасыз ете алады, себебі олар өздерінің кеткен клиенті туралы ешқандай ақпарат ұстамайды. Цифрлық қолма-қол ақша жүйесін дамытушы компаниялар ішінде NetCash, Citibank, DigiCash, Mondex, Ресейде - PayCash, WebMoney атауға болады. </w:t>
      </w:r>
    </w:p>
    <w:p w14:paraId="03EA5B4A"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bookmarkStart w:id="8" w:name="_Toc163198619"/>
      <w:r w:rsidRPr="00F34803">
        <w:rPr>
          <w:rFonts w:ascii="Times New Roman" w:eastAsia="Times New Roman" w:hAnsi="Times New Roman" w:cs="Times New Roman"/>
          <w:kern w:val="36"/>
          <w:sz w:val="24"/>
          <w:szCs w:val="24"/>
          <w:lang w:val="kk-KZ" w:eastAsia="ru-RU"/>
        </w:rPr>
        <w:t> </w:t>
      </w:r>
      <w:bookmarkEnd w:id="8"/>
    </w:p>
    <w:p w14:paraId="78728A03" w14:textId="1D04E22D"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Кредиттік карталарды пайдаланатын төлем жүйелері</w:t>
      </w:r>
    </w:p>
    <w:p w14:paraId="5D2592F8"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058413EE"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CyberPlat.</w:t>
      </w:r>
    </w:p>
    <w:p w14:paraId="36FD512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CyberPlat  - бұл Internet-пен қолма-қол ақшасыз нақты ақшамен нақты уақытта есептесу жүйесі. Internet-дүкеннен сатып алғандары үшін есептесуді - клиенттің шотынан да, сондай-ақ кез келген банк босататын банктің кредиттік карточкаларын пайдалану арқылы да орындауға болады. Ақпаратпен барлық алмасу  Internet желісімен жүзеге асырылады. </w:t>
      </w:r>
    </w:p>
    <w:p w14:paraId="2F1F07C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CyberPlat жүйесінде тіркелген дүкен үшін сатып алғандарын төлеуге кепілдік беріледі және барлық мәмілелерді құжаттаудың арқасында сатып алғанын төлеуден негізсіз бас тарту мүмкіндігі болмайды. Жүйеде рұқсат етілген қол жеткізуден тиімді қорғау қарастырылған. Берілетін ақпаратқа, жүйеге қатысушылар электрондық цифрлық қол қояды, бұл құжаттардың мазмұнын бұзықтықпен өзгерту мүмкіндігін болдырмайды. Ұзындығы 512 биттік кілттерді ашық таратумен жүретін криптографиялық түрлендірудің асимметриялық алгоритмі қолданылады. Осындай ұзындықтағы кілт үшін жасанды қол қою мүмкін емес, себебі оған көп ресурстар керек. </w:t>
      </w:r>
    </w:p>
    <w:p w14:paraId="547A497D"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Жүйенің негізгі қасиеттері: </w:t>
      </w:r>
    </w:p>
    <w:p w14:paraId="72622556"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барлық операциялардың on-line жүргізу есебінен өзара есептесу шапшаңдығы;</w:t>
      </w:r>
    </w:p>
    <w:p w14:paraId="3A3F47C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жүйеге қосылу қарапайымдылығы мен қаржылық және қаржылық емес операцияларды жүргізу технологиясының қарапайымдылығы;</w:t>
      </w:r>
    </w:p>
    <w:p w14:paraId="28B1A11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клиент шотын қорғаудың және құпиялылықты қамтамасыз етудің тиімді жүйесі: өзара әрекеттесуші тараптар электрондық цифрлық қол қоюды (ЭЦҚ) пайдаланады; клиентті қорғау сенімділігі 512 биттік жабық кілтті пайдалану арқылы қамтамасыз етіледі; операция жүргізуші тарап-тардың нақтылығын растаудың жетілдірілген технологиясы қолданылады;</w:t>
      </w:r>
    </w:p>
    <w:p w14:paraId="417DDC9A"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on-line режимінде төлем жүргізу операцияларының барлығына бақылау жүргізу және оларды құжаттық түрде бекіту;</w:t>
      </w:r>
    </w:p>
    <w:p w14:paraId="1484D35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операциялардың әрбір кезеңін құжаттық түрде растау; құжаттар тараптардың ЭЦҚ сертификатталады да, заңдық күші болады;</w:t>
      </w:r>
    </w:p>
    <w:p w14:paraId="46AC90D0"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internet арқылы өз шотын басқару  - </w:t>
      </w:r>
      <w:bookmarkStart w:id="9" w:name="OCRUncertain073"/>
      <w:r w:rsidRPr="00F34803">
        <w:rPr>
          <w:rFonts w:ascii="Times New Roman" w:eastAsia="Times New Roman" w:hAnsi="Times New Roman" w:cs="Times New Roman"/>
          <w:sz w:val="24"/>
          <w:szCs w:val="24"/>
          <w:lang w:val="kk-KZ" w:eastAsia="ru-RU"/>
        </w:rPr>
        <w:t>CyberPlat</w:t>
      </w:r>
      <w:bookmarkEnd w:id="9"/>
      <w:r w:rsidRPr="00F34803">
        <w:rPr>
          <w:rFonts w:ascii="Times New Roman" w:eastAsia="Times New Roman" w:hAnsi="Times New Roman" w:cs="Times New Roman"/>
          <w:sz w:val="24"/>
          <w:szCs w:val="24"/>
          <w:lang w:val="kk-KZ" w:eastAsia="ru-RU"/>
        </w:rPr>
        <w:t>-тағы шоттан басқа банктегі кез келген басқа шотқа, сыртқы төлемдік шоттар арқылы төлеу мүмкіндігі;</w:t>
      </w:r>
    </w:p>
    <w:p w14:paraId="653C5E17"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Assist Internet.</w:t>
      </w:r>
    </w:p>
    <w:p w14:paraId="57F29316"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Assist (</w:t>
      </w:r>
      <w:bookmarkStart w:id="10" w:name="OCRUncertain118"/>
      <w:r w:rsidRPr="00F34803">
        <w:rPr>
          <w:rFonts w:ascii="Times New Roman" w:eastAsia="Times New Roman" w:hAnsi="Times New Roman" w:cs="Times New Roman"/>
          <w:sz w:val="24"/>
          <w:szCs w:val="24"/>
          <w:u w:val="single"/>
          <w:lang w:val="kk-KZ" w:eastAsia="ru-RU"/>
        </w:rPr>
        <w:t>htt</w:t>
      </w:r>
      <w:bookmarkEnd w:id="10"/>
      <w:r w:rsidRPr="00F34803">
        <w:rPr>
          <w:rFonts w:ascii="Times New Roman" w:eastAsia="Times New Roman" w:hAnsi="Times New Roman" w:cs="Times New Roman"/>
          <w:sz w:val="24"/>
          <w:szCs w:val="24"/>
          <w:u w:val="single"/>
          <w:lang w:val="kk-KZ" w:eastAsia="ru-RU"/>
        </w:rPr>
        <w:t>p://</w:t>
      </w:r>
      <w:bookmarkStart w:id="11" w:name="OCRUncertain119"/>
      <w:r w:rsidRPr="00F34803">
        <w:rPr>
          <w:rFonts w:ascii="Times New Roman" w:eastAsia="Times New Roman" w:hAnsi="Times New Roman" w:cs="Times New Roman"/>
          <w:sz w:val="24"/>
          <w:szCs w:val="24"/>
          <w:u w:val="single"/>
          <w:lang w:val="kk-KZ" w:eastAsia="ru-RU"/>
        </w:rPr>
        <w:t>www</w:t>
      </w:r>
      <w:bookmarkEnd w:id="11"/>
      <w:r w:rsidRPr="00F34803">
        <w:rPr>
          <w:rFonts w:ascii="Times New Roman" w:eastAsia="Times New Roman" w:hAnsi="Times New Roman" w:cs="Times New Roman"/>
          <w:sz w:val="24"/>
          <w:szCs w:val="24"/>
          <w:u w:val="single"/>
          <w:lang w:val="kk-KZ" w:eastAsia="ru-RU"/>
        </w:rPr>
        <w:t>.assis</w:t>
      </w:r>
      <w:bookmarkStart w:id="12" w:name="OCRUncertain120"/>
      <w:r w:rsidRPr="00F34803">
        <w:rPr>
          <w:rFonts w:ascii="Times New Roman" w:eastAsia="Times New Roman" w:hAnsi="Times New Roman" w:cs="Times New Roman"/>
          <w:sz w:val="24"/>
          <w:szCs w:val="24"/>
          <w:u w:val="single"/>
          <w:lang w:val="kk-KZ" w:eastAsia="ru-RU"/>
        </w:rPr>
        <w:t>t</w:t>
      </w:r>
      <w:bookmarkEnd w:id="12"/>
      <w:r w:rsidRPr="00F34803">
        <w:rPr>
          <w:rFonts w:ascii="Times New Roman" w:eastAsia="Times New Roman" w:hAnsi="Times New Roman" w:cs="Times New Roman"/>
          <w:sz w:val="24"/>
          <w:szCs w:val="24"/>
          <w:u w:val="single"/>
          <w:lang w:val="kk-KZ" w:eastAsia="ru-RU"/>
        </w:rPr>
        <w:t>.</w:t>
      </w:r>
      <w:bookmarkStart w:id="13" w:name="OCRUncertain121"/>
      <w:r w:rsidRPr="00F34803">
        <w:rPr>
          <w:rFonts w:ascii="Times New Roman" w:eastAsia="Times New Roman" w:hAnsi="Times New Roman" w:cs="Times New Roman"/>
          <w:sz w:val="24"/>
          <w:szCs w:val="24"/>
          <w:u w:val="single"/>
          <w:lang w:val="kk-KZ" w:eastAsia="ru-RU"/>
        </w:rPr>
        <w:t>ru</w:t>
      </w:r>
      <w:bookmarkEnd w:id="13"/>
      <w:r w:rsidRPr="00F34803">
        <w:rPr>
          <w:rFonts w:ascii="Times New Roman" w:eastAsia="Times New Roman" w:hAnsi="Times New Roman" w:cs="Times New Roman"/>
          <w:sz w:val="24"/>
          <w:szCs w:val="24"/>
          <w:lang w:val="kk-KZ" w:eastAsia="ru-RU"/>
        </w:rPr>
        <w:t>) нақты уақытта кредиттік карталар көмегімен жасалатын немесе Internet-ке қосылған кез келген компьютердің көмегімен  Internet-дүкен клиентінің дербес шоты арқылы авторлау мен төлемдерге өңдеу жүргізуге мүмкіндік беретін жүйе болып табылады. Assist жүйесінде төлем қауіпсіздігі, құпия ақпаратты өңдеу үшін клиенттен банкқа берілуі кезінде шифрлауды пайдалану арқылы қамтамасыз етіледі.  </w:t>
      </w:r>
    </w:p>
    <w:p w14:paraId="1001A111"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Клиенттің қолға түскен құпия деректерін (карта деректемелері, тіркеу деректері және т.б.) CyberPlat жүйесінің back-office-де жүргізіледі. Осылайша, ешкім, тіпті сатушы да клиенттің жеке және оның басқа дүкендерде жасаған саудасы туралы ақпаратты қосқанда, банктық деректерін  ала алмайды. </w:t>
      </w:r>
    </w:p>
    <w:p w14:paraId="298CB622"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Internet-дүкендегі төлемді өңдеу нәтижелері туралы ақпараттарды жіберу үшін 512 биттік кілттерді ашық тарату арқылы крипографиялық түрлендірудің асимметриялық алгоритмі негізінде цифрлық қол қою қолданылады. Осындай ұзындықтағы кілт үшін жасанды қол қою, жоғарыда аталғандай, практикалық түрде мүмкін емес.</w:t>
      </w:r>
    </w:p>
    <w:p w14:paraId="16340F9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Ақпаратты клиенттен жүйе серверіне жіберу кезеңінде шифрлау үшін SSL 3.0 хаттамасы қолданылады, сервер сертификатын цифрлық сертификат беру орталығы мойындаған Verisign компаниясы берген. </w:t>
      </w:r>
    </w:p>
    <w:p w14:paraId="6646FA81"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4C05213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7BD852EF" w14:textId="575E3C0E"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14" w:name="_Toc163198620"/>
      <w:r w:rsidRPr="00F34803">
        <w:rPr>
          <w:rFonts w:ascii="Times New Roman" w:eastAsia="Times New Roman" w:hAnsi="Times New Roman" w:cs="Times New Roman"/>
          <w:kern w:val="36"/>
          <w:sz w:val="24"/>
          <w:szCs w:val="24"/>
          <w:lang w:val="kk-KZ" w:eastAsia="ru-RU"/>
        </w:rPr>
        <w:t>Электрондық қолма-қол ақшаны пайдаланумен жүретін төлемдік жүйелер</w:t>
      </w:r>
      <w:bookmarkEnd w:id="14"/>
    </w:p>
    <w:p w14:paraId="34F282C0"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568ED731" w14:textId="77777777" w:rsidR="00F34803" w:rsidRPr="00F34803" w:rsidRDefault="00F34803" w:rsidP="008C6841">
      <w:pPr>
        <w:spacing w:after="0" w:line="240" w:lineRule="auto"/>
        <w:ind w:firstLine="709"/>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Егер электрондық төлемдердің кейбір жүйесі әрбір клиентке төлемнің анонимдігін және төлемдік қаражаттарды жеке өзі билеуін қамтамасыз етсе, онда ол клиенттің билігіне электрондық қолма-қол ақшаны береді деуге болады. Осыған орай төлемдердің анонимдігі мен билеу еркіндігі  - жүйенің ішкі қасиеті болуы керек. Электрондық қолма-қол ақшаларға операция жүргі-зетін төлемдік жүйеде клиенттер, төлемдерді жүргізудің белгілі ережелеріне сүйене отырып, өз құқықтарын өздері қамтамасыз етеді, сондықтан олар компания-операторға сенуге тиісті емес.</w:t>
      </w:r>
    </w:p>
    <w:p w14:paraId="40E24BAA"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Егер иеленуші қаржылық деректері мен олардың резервтік көшірмелерін жоғалтып алса, электрондық қолма-қол ақшаны да, кәдімгі ақша сияқты, жо-ғалтып алуға болады. Электрондық қолма-қол ақшаға пайыз да есептелмейді.  </w:t>
      </w:r>
    </w:p>
    <w:p w14:paraId="447DA2EE"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Кредиттік карталарды пайдаланатын қолданыстағы төлемдік жүйелер шеңберінде төлемдерде қолма-қол ақша төлемдерінің негізгі қасиеттері болмайды. Оларға бірқатар кемшіліктер тән, бұл оларды қолма-қол ақшадан айрықша етеді және олардың Internet-тегі қолданымдылық аясын шектейді:</w:t>
      </w:r>
    </w:p>
    <w:p w14:paraId="22E06D10"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мүмкін болатын төлемдер қосындысы жеткілікті түрде жіңішке – бір доллардан бірнеше мыңдаған долларға дейінгі диапазонда жатыр, сондықтан цент үлесінен бірнеше долларға дейінгі микротөлемдер үшін басқа қаражат талап етіледі; </w:t>
      </w:r>
    </w:p>
    <w:p w14:paraId="16C4C82C"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төлем жүргізуге талап етілетін уақыт, көбінесе тым көп;</w:t>
      </w:r>
    </w:p>
    <w:p w14:paraId="163FECC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карточкалық жүйеде сатушылар мен сатып алушылар тең құқықты емес, жеке алғанда, карточкасы бар қатардағы иегерлер өздерінің карточкалық шотынан ақша ала алмайды. Бұл, мысалы, өз клиенттеріне сыйақы төлеуге тиісті виртуалды казино, лотерея және басқа ұқсас кәіпорындарды ұйымдас-тыруды қиындатады; </w:t>
      </w:r>
    </w:p>
    <w:p w14:paraId="2D6BF30D"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Электрондық қолма-қол ақшалар мұндай кемшіліктерден арылған, сондықтан пластикалық карталар негізінде төлем жүйелеріне маңызды бәсекелестікті құрай алады.  </w:t>
      </w:r>
    </w:p>
    <w:p w14:paraId="21580241"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485B4ADC"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7153AC31" w14:textId="5532BE40" w:rsidR="00F34803" w:rsidRPr="00F34803" w:rsidRDefault="00F34803" w:rsidP="002D7AFF">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15" w:name="_Toc163198621"/>
      <w:r w:rsidRPr="00F34803">
        <w:rPr>
          <w:rFonts w:ascii="Times New Roman" w:eastAsia="Times New Roman" w:hAnsi="Times New Roman" w:cs="Times New Roman"/>
          <w:kern w:val="36"/>
          <w:sz w:val="24"/>
          <w:szCs w:val="24"/>
          <w:lang w:val="kk-KZ" w:eastAsia="ru-RU"/>
        </w:rPr>
        <w:t>PayCash</w:t>
      </w:r>
      <w:bookmarkEnd w:id="15"/>
      <w:r w:rsidRPr="00F34803">
        <w:rPr>
          <w:rFonts w:ascii="Times New Roman" w:eastAsia="Times New Roman" w:hAnsi="Times New Roman" w:cs="Times New Roman"/>
          <w:kern w:val="36"/>
          <w:sz w:val="24"/>
          <w:szCs w:val="24"/>
          <w:lang w:val="kk-KZ" w:eastAsia="ru-RU"/>
        </w:rPr>
        <w:t xml:space="preserve"> электрондық қолма-қол ақшалар жүйесі</w:t>
      </w:r>
    </w:p>
    <w:p w14:paraId="3201BE93" w14:textId="77777777" w:rsidR="00F34803" w:rsidRPr="00F34803" w:rsidRDefault="00F34803" w:rsidP="008C6841">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14:paraId="07F8E11A"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PayCash — Таврлық банк пен "Алкор-Холдинг" компаниясының тобы бірлесіп жасаған жоба. PayCash жүйесі Бүкіл әлемдік Internet желісінің шеңберінде, сомалардың кең диапазонында төлемдерді жылдам және тиімді жүргізудің қолайлы құралы ретінде ойлап шығарылған.</w:t>
      </w:r>
    </w:p>
    <w:p w14:paraId="71E051CC"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PayCash (http://www.paycash. ru) төлемдік жүйесінің қатысушылары - банк, жүйенің компания-операторы және клиенттер болып табылады. Клиент-тер ретінде жеке және заңды тұлғалар, сондай-ақ сол немесе басқалар атынан роботтар қатыса алады. Роботтар – автономдық түрде қызмет ететін компьютерлік программалар, олар дүкендердің, казиноның, дилингтік орталықтардың, букмекерлік кеңселердің және т.б. ролін ойнайды. </w:t>
      </w:r>
    </w:p>
    <w:p w14:paraId="45AEF785"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Банк тұрығысынан барлық клиенттер тең құқықты. Жеке алғанда, төлемдерді қабылдау мүмкіндігі болуы үшін, клиентке ешқандай «дүкеннің» статусы талап етілмейді. Клиент PayCash жүйесі шеңберіндегі өзінің барлық операциясын «Кошелек» деп аталатын арнайы программалық қамтамасыз ету көмегімен жүргізеді. Жүйеге қатысушылардың өзара әрекеттері Internet бойынша хабарлама жіберу арқылы жүреді.</w:t>
      </w:r>
    </w:p>
    <w:p w14:paraId="645A7F42"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Жүйенің жұмыс сұлбасы мынадай болып келеді. Болашақ клиент Internet бойынша «Кошелектің» көмегімен банктағы шотын ашады да, қандай да бір тәсілмен осы шотқа ақша аударады. Клиент өз шотына ақшаны түрлі тәсілдермен аудара алады: қолма-қол ақшаны банк кассасына салу арқылы, банктік немесе поштамен аудару арқылы, кредиттік картаның көмегімен және ең соңында, басқа клиент оған PayCash жүйесі шеңберінде төлей алады. Осы операциялардан кейін ол жүйенің клиенті болып саналады.  </w:t>
      </w:r>
    </w:p>
    <w:p w14:paraId="7ED0EDED"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PayCash жүйесі шеңберінде есептесу мүмкіндігін алу үшін клиент өзінің компьютерінде «Кошелектің» көмегімен бір немесе бірнеше төлемдік кітапшалар жасайды. Сосын, қайтадан соның көмегімен өз шотынан ақшаның біршама сомасын кітапшалардың біріне, яғни өз компьютеріне аударады. Енді клиент Internet-те, анонимді түрде, өзінің төлемдік кітапшаларында жатқан ақшалармен есептесуге дайын. Әрбір төлемді банк авторлайды. Төлем кезіндегі хабарласу тізбегі мынадай болып келеді: сатушы ® сатып алушы ® сатушы ® банк ® сатушы ® сатып алушы.</w:t>
      </w:r>
    </w:p>
    <w:p w14:paraId="30448CF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Бірінші қадамда сатушы сатып алушыдан ақша сұрайды, оның үстіне, сұранысқа мәміленің қол қойылған келісім-шарты енгізілген. Екінші қадамда сатып алушы сатушыға төлем деректерін салып жібереді. Одан әрі сатушы төлем деректерін авторлау үшін банкке жібереді. Банк қажетті тексерістер жүргізіп, сатушыға, сондай-ақ сатып алушыға да квитанциялар жібереді. Сатушы сатып алушыға өзінің шешімін хабарлап, сатып алушының атына банк шифрлаған деректерді  салып жібереді. </w:t>
      </w:r>
    </w:p>
    <w:p w14:paraId="50E0C0E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PayCash жүйесінде клиент «электрондық қолма-қол ақшаны» өзінің билігіне алатынын, оларды да кәдімгі қағаз ақша сияқты жоғалтып алуға болатынын ескерген жөн. Мысалы, егер клиенттің компьютері «жанып кетсе» немесе оны ұрлап кетсе, онда клиент өз компьютеріне аударған және жұмсап үлгермеген барлық ақшасынан айрылады. Осылайша, PayCash жүйесі – бұл тек банк-клиент жүйесі ғана емес, анонимдік электрондық ақшалар жүйесі.</w:t>
      </w:r>
    </w:p>
    <w:p w14:paraId="59559B0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Жүйенің негізгі параметрлері: </w:t>
      </w:r>
    </w:p>
    <w:p w14:paraId="442993C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bookmarkStart w:id="16" w:name="OCRUncertain190"/>
      <w:r w:rsidRPr="00F34803">
        <w:rPr>
          <w:rFonts w:ascii="Times New Roman" w:eastAsia="Times New Roman" w:hAnsi="Times New Roman" w:cs="Times New Roman"/>
          <w:sz w:val="24"/>
          <w:szCs w:val="24"/>
          <w:lang w:val="kk-KZ" w:eastAsia="ru-RU"/>
        </w:rPr>
        <w:t>-                   көп валюталылығы.</w:t>
      </w:r>
      <w:bookmarkEnd w:id="16"/>
      <w:r w:rsidRPr="00F34803">
        <w:rPr>
          <w:rFonts w:ascii="Times New Roman" w:eastAsia="Times New Roman" w:hAnsi="Times New Roman" w:cs="Times New Roman"/>
          <w:sz w:val="24"/>
          <w:szCs w:val="24"/>
          <w:lang w:val="kk-KZ" w:eastAsia="ru-RU"/>
        </w:rPr>
        <w:t xml:space="preserve"> Жүйе бір мезгілде 255 есеге дейін жеке валюта-ларды ұстай алады. Әрбір валюта үшін түсірімнің минимум бірлігінің (МБ) ұғымы енгізілуде, ол ондық дәрежесіне тең және шамамен ресейдің 10 (жаңа) тиындарына барабар. Мысалы, АҚШ доллары үшін MБ=0,01 USD, жапондық йена үшін МБ=1 JPY. Жүйедегі барлық есептеулер, мысалы, конвертациялар немесе пайыздарды есептеу кезінде 0,0001 MБ дейінгі дәлдікпен жүргізіледі. Банк валюталардың жинағын таңдайды, олармен  жұмыс істейді және басқа деректермен біріктіріп Internet желісінде жариялайды;</w:t>
      </w:r>
    </w:p>
    <w:p w14:paraId="0A179F54"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мүмкін болатын төлемдер диапазоны. Кез келген клиент бір қабыл-дауда басқа клиентке 0,0001 МБ басталған соманы төлей алады (мысалы, рубль үшін – 0,001 тиын және одан жоғары, АҚШ доллары үшін 0,0001 цент және одан жоғары). Жоғары төлем практикалық түрде шектелмейді. Нақты төлемдердің төменгі шегі келесі сыртқы жағдайлармен анықталады. Біріншіден, Internet-тегі жұмыстың бір минуты қатардағы пайдаланушы үшін 2-ден бастап 4 центке дейін тұрады. Осыған орай, егер төлем бірнеше секундқа созылса, онда бұл сол себепті әр тарапқа 0,1 центтен кем болмайтындай  есептеледі және, осыған сәйкес, ақшаны қабылдаушы тарапқа аз сома алудың ерекше мәні жоқ. Екіншіден, банк ақша алушыдан әрбір төлем үшін комиссиялық ақша алуы мүмкін. Мысалы, банк төлемнен 1МБ +1% ұстауы мүмкін, сондықтан төлем сомасы 1,010101 MБ болғанда ақша алушы (сатушы) ештеңе алмайды, ал аз сома болса, банк төлемді қабылдамайды;</w:t>
      </w:r>
    </w:p>
    <w:p w14:paraId="4747FF0E"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төлем дискреттілігі. Төлем сомасы алдыңғы тарауда сипатталған диапазон шегінде 0,0001 МБ дейінгі дәлдікте кез келген санмен анықталуы мүмкін. Мысалы, доллармен төлеу - 87364,123456 санымен, ал рубльмен төлеу 1234,56789 санымен көрсетілуі мүмкін;</w:t>
      </w:r>
    </w:p>
    <w:p w14:paraId="30109600"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электрондық ақшаларды (ЭА) шоттан төлем кітапшаларына аудару. Клиент бір қабылдауда өз шотынан өзінің төлем кітапшаларының біріне бүтін санмен берілген 1 МБ бастап 16 000 000 МБ дейін кез келген соманы аудара алады. Төлем кітапшасын қолданған кездерінің ішінде өзі арқылы 2,6 ×109 жуық MБ өткізе алады;</w:t>
      </w:r>
    </w:p>
    <w:p w14:paraId="075756A5"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операция ұзақтығы. Егер банкте Pentium-200 типті компьютер қолданылатын болса, онда клиент бастаған кез келген операцияны ол 0,1 бастап 0,5 дейінгі секунд аралығындағы уақытта орындайды. Операцияны өткізудің жалпы уақыты келесі құраушылардан тұрады: банк хабарламасын өңдеу уақыты, хабарламаларды операцияның басқа қатысушыларының компьютерлерімен қалыптастыру және өңдеу уақыты, желі бойынша қатысушылар арасындағы хабарламаларды жүргізу уақыты, клиенттердің «ойластыруға» жіберетін уақыты. Клиенттің хабарламаны өңдеу уақыты оның компьютерінің қуаттылығына байланысты және Pentium-200 типті компьютер үшін 0,5 секундтан аз болуы мүмкін;</w:t>
      </w:r>
    </w:p>
    <w:p w14:paraId="3CA3A6D9"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клиент компьютеріндегі электрондық ақшаның болу уақыты</w:t>
      </w:r>
      <w:r w:rsidRPr="00F34803">
        <w:rPr>
          <w:rFonts w:ascii="Times New Roman" w:eastAsia="Times New Roman" w:hAnsi="Times New Roman" w:cs="Times New Roman"/>
          <w:sz w:val="24"/>
          <w:szCs w:val="24"/>
          <w:lang w:eastAsia="ru-RU"/>
        </w:rPr>
        <w:t xml:space="preserve">. </w:t>
      </w:r>
      <w:r w:rsidRPr="00F34803">
        <w:rPr>
          <w:rFonts w:ascii="Times New Roman" w:eastAsia="Times New Roman" w:hAnsi="Times New Roman" w:cs="Times New Roman"/>
          <w:sz w:val="24"/>
          <w:szCs w:val="24"/>
          <w:lang w:val="kk-KZ" w:eastAsia="ru-RU"/>
        </w:rPr>
        <w:t>Клиент компьютеріне аударылған электрондық ақшалар, банк шифрларын ауыстыру кезінде болатын төлем кітапшасының «күйіп кетуіне» дейін оперативтік төлем қабілеттілігін сақтайды. Шифрларды ауыстыру мерзімді-лігі бірнеше жылды құрауы мүмкін. Шифрлардың бір тобының қолданылу кезеңінің ортасында басқа тобының қолданысы басталады, осылайша уақыттың әр сәтінде дұрыс шифрлардың екі тобы болады: біреуі – ескірген, екіншісі – жаңа. Жаңадан жасалатын төлем кітапшасы әрқашан шифрлардың жаңа тобын қолданады, сондықтан да шифрлар тобының қолданылу кезеңі-нің жартысынан да аз әрекетте болады. Осылайша, клиенттің, электрондық ақшаны жұмсауға немесе одан гөрі жаңа шифрларға көшуге уақыты жеткілікті. Егер қандай да бір себептермен клиент оны да, басқаны да істемесе, онда ол анағұрлым ұзақ тәртіппен өзінің төлем қабілеттілігін жоғалтқан ЭА қайта орнына келтіре алмайды;</w:t>
      </w:r>
    </w:p>
    <w:p w14:paraId="6D44A16E"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клиенттердің тең құқықтығы. Барлық клиенттер функционалдық түрде тең құқықты, жеке алғанда, кез келген клиент ақшаны төлей де алады, ала да алады;</w:t>
      </w:r>
    </w:p>
    <w:p w14:paraId="7CF1E78D"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Төлемдердің анонимдігі. PayCash жүйесіндегі төлемдердің анонимдігі екі деңгейде қамтамасыз етіледі. Біріншіден, клиент банкте шот ашқан кезде өзі туралы ешқандай ақиқаттаушы ақпарат бермеуіне болады. Екіншіден, кез келген төлем үшін банк, есептесу жүргізілген ақша қандай шоттан алынғанын белгілеуге де теориялық мүмкіндігі болмайды, өйткені электрон-дық ақшаны шоттан төлем кітапшаларына аудару кезінде «көзсіз» қол қою технологиясы пайдаланылады;</w:t>
      </w:r>
    </w:p>
    <w:p w14:paraId="674D1052"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төлемдердің байланыстылығы. Банк өз қаражатымен, нақты төлемге қатысушы ақшалар (тіпті олардың алушыларымен корпорацияда) қандай шоттан келгенін белгілей алмағанмен, банкта, бір төлем кітапшасынан жүргізілген, оның кімге тиісті екенін білмесе де, барлық төлемдерді көрсету-дің принциптік мүмкіндігі бар.  Төлемдер байланыстылығының осы қасиеті клиенттің анонимдігіне бірқатар қауіп төндіреді, өйткені клиенттің төлемдерінің бірі жүйеге қатысты сыртқы қаражаттармен атрибутталса, онда клиенттің берілген төлем кітапшасымен байланысты барлық төлемдік тарихы ашылып қалуы мүмкін. Осы қауіпті азайту үшін клиент, жаңа төлем кітапшаларын ашып, ескісін қолдануды тоқтату арқылы өзінің төлемдік тарихын доғаруына болады. Оның үстіне кітапшаның табиғи жарамсыздануы кезінде оның төлемдік тарихы аяқталады. Клиентке өзінің төлемдік тарихын қалай жиі ауыстыру керек және бір мезгілде олардың қаншасы болу керек екені оның күдікшілдігіне және банк белгілейтін төлемдік кітапшаны ашу бағасына байланысты;</w:t>
      </w:r>
    </w:p>
    <w:p w14:paraId="1277FC9F"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қауіпсіздігі. Желі бойынша жіберу кезінде барлық деректер крипто-графия айналасында тұрақты беделі бар әдістермен шифрланады. Осыған орай 1024 биттен қысқа емес ашық кілттер мен 128 биттен қысқа емес симметриялы кілттер қолданылады, сондықтан шифрланған хабарларды ұстап алу көз жетерлік болашақта есептік түрде мүмкін емес. Жүйені жүзеге асыру кезінде де клиент үшін шетін ақпаратты оның компьютерінен тікелей ұрлау әрекетінен оны қорғайтын сақтық шаралары да қарастырылған: а) программалық қамтамасыз ету мен деректер базасының бүтіндігін «Кошелек» бақылайды; б) деректер базасы қатқыл дискіде шифрланған күйінде сақталады; в) клиент компьютерінің күйреуінен кейін статусын қалпына келтіруге жеткілікті деректердің көшірмелерін шифрланған түрде  дискетаға сақтау мүмкіндігі бар; г) «Кошелекті» іске қосу парольмен шартталған және т.б. Сақтықтың қарапайым ережелерін орындайтын клиент өзінің электрондық ақшасының қауіпсіздігіне сенімді бола алады;</w:t>
      </w:r>
    </w:p>
    <w:p w14:paraId="202329A5"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қорғалғандығы. Жүйенің барлық қатысушылары бір-бірінен және сыртқы қаскүнемдерден қорғалған, яғни бұл олардың қол астында өздерінің дұрыстықтарын дәлелдейтін және әділетсіз серіктесін әшкерелейтін техника-лық құралдары бар деген мағынада;</w:t>
      </w:r>
    </w:p>
    <w:p w14:paraId="0001562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байланыстың үзілуіне қатысты тұрақтылық. Егер қандай болмасын қаржылық мәні бар операцияға қызмет ететін хабарлармен алмасу хаттамасы аяғына дейін сәтті жеткізілмесе, онда тараптардың бірі де ақшаларын жоғалту қатеріне бармайды; </w:t>
      </w:r>
    </w:p>
    <w:p w14:paraId="4E535E13"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электрондық поштаны қолдау. PayCash жүйесі, көбінесе, нақты уақыт режимінде төлемдерді жүргізуге арналғанмен, жүйеге кейбір шектеу-лерімен электрондық поштаны қолдау енгізуге болады. Электрондық ақшаны электрондық поштамен алу кезінде клиент, ақшаны алу сәті дегеніміз оны соның шотына түсіру сәті – авторлау сәті екенін түсіну керек. Жеке алғанда, электрондық ақшасы бар деген электрондық хаттың келуі, клиент ақшаны алды дегенді білдірмейді – бұл тек уәде беру. Банк тым ескі төлемдерді авторламайтынын да және бұдан басқа, төлеушіде әлі авторлау үшін банкке берілмеген төлемді жою мүмкіндігі бар екенін ескерген жөн;</w:t>
      </w:r>
    </w:p>
    <w:p w14:paraId="6F4CF06B"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bookmarkStart w:id="17" w:name="OCRUncertain223"/>
      <w:r w:rsidRPr="00F34803">
        <w:rPr>
          <w:rFonts w:ascii="Times New Roman" w:eastAsia="Times New Roman" w:hAnsi="Times New Roman" w:cs="Times New Roman"/>
          <w:sz w:val="24"/>
          <w:szCs w:val="24"/>
          <w:lang w:val="kk-KZ" w:eastAsia="ru-RU"/>
        </w:rPr>
        <w:t>-                   масштабтылығы.</w:t>
      </w:r>
      <w:bookmarkEnd w:id="17"/>
      <w:r w:rsidRPr="00F34803">
        <w:rPr>
          <w:rFonts w:ascii="Times New Roman" w:eastAsia="Times New Roman" w:hAnsi="Times New Roman" w:cs="Times New Roman"/>
          <w:sz w:val="24"/>
          <w:szCs w:val="24"/>
          <w:lang w:val="kk-KZ" w:eastAsia="ru-RU"/>
        </w:rPr>
        <w:t xml:space="preserve"> Банк сервері Pentium 200/64 Мб/5 Гб компью-терінде тәулігіне 150 000 дейін төлемдер немесе басқа операциялар жүргізе алады. Осындай немесе бұдан да қуатты серверлерді жергілікті желіге біріктіре отырып, транзакция санын тәулігіне пропорционал түрде көбейтуге болады. Сондай-ақ, көптеген тәуелсіз банктері бар жүйені осылай кеңейтуге болады. Банктер арасында клирингтік тәртіптер туралы белгілі бір келісім болса, онда түрлі банктің клиенттері бір-біріне төлей алады;</w:t>
      </w:r>
    </w:p>
    <w:p w14:paraId="75B027B0"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paycash жүйесінің клиенті болу үшін, Intel 486SX процессоры бар және одан жоғары немесе біріккен, Win</w:t>
      </w:r>
      <w:r w:rsidRPr="00F34803">
        <w:rPr>
          <w:rFonts w:ascii="Times New Roman" w:eastAsia="Times New Roman" w:hAnsi="Times New Roman" w:cs="Times New Roman"/>
          <w:sz w:val="24"/>
          <w:szCs w:val="24"/>
          <w:lang w:val="kk-KZ" w:eastAsia="ru-RU"/>
        </w:rPr>
        <w:softHyphen/>
        <w:t>dows 95 немесе Windows NT операциялық жүйесінің басқаруымен жұмыс істейтін, қатқыл дискідегі бос орын 4 Мб көлеміндегі,  Internet-ке on-</w:t>
      </w:r>
      <w:r w:rsidRPr="00F34803">
        <w:rPr>
          <w:rFonts w:ascii="Times New Roman" w:eastAsia="Times New Roman" w:hAnsi="Times New Roman" w:cs="Times New Roman"/>
          <w:sz w:val="24"/>
          <w:szCs w:val="24"/>
          <w:lang w:val="kk-KZ" w:eastAsia="ru-RU"/>
        </w:rPr>
        <w:softHyphen/>
        <w:t xml:space="preserve">line режимінде тікелей қосылған, тұрақты немесе динамикалық IP-àäðåñ және жеткілікті түрде жаңа заманғы шолушысы бар (браузер) WWW (Internet Explorer 3.0,  Netscape Navigator 3.0 немесе жаңарақ) компьютері болуы керек. </w:t>
      </w:r>
    </w:p>
    <w:p w14:paraId="01EF7DA8"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5BB44D1A" w14:textId="77777777" w:rsidR="00F34803" w:rsidRPr="00F34803" w:rsidRDefault="00F34803" w:rsidP="008C6841">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14:paraId="64FAB4F0" w14:textId="77777777" w:rsidR="002D7AFF" w:rsidRDefault="002D7AFF" w:rsidP="008C6841">
      <w:pPr>
        <w:spacing w:after="0" w:line="240" w:lineRule="auto"/>
        <w:ind w:firstLine="709"/>
        <w:outlineLvl w:val="0"/>
        <w:rPr>
          <w:rFonts w:ascii="Times New Roman" w:eastAsia="Times New Roman" w:hAnsi="Times New Roman" w:cs="Times New Roman"/>
          <w:kern w:val="36"/>
          <w:sz w:val="24"/>
          <w:szCs w:val="24"/>
          <w:lang w:val="kk-KZ" w:eastAsia="ru-RU"/>
        </w:rPr>
      </w:pPr>
      <w:bookmarkStart w:id="18" w:name="_Toc163198622"/>
    </w:p>
    <w:p w14:paraId="6A0BF6DD" w14:textId="77777777" w:rsidR="002D7AFF" w:rsidRDefault="002D7AFF" w:rsidP="008C6841">
      <w:pPr>
        <w:spacing w:after="0" w:line="240" w:lineRule="auto"/>
        <w:ind w:firstLine="709"/>
        <w:outlineLvl w:val="0"/>
        <w:rPr>
          <w:rFonts w:ascii="Times New Roman" w:eastAsia="Times New Roman" w:hAnsi="Times New Roman" w:cs="Times New Roman"/>
          <w:kern w:val="36"/>
          <w:sz w:val="24"/>
          <w:szCs w:val="24"/>
          <w:lang w:val="kk-KZ" w:eastAsia="ru-RU"/>
        </w:rPr>
      </w:pPr>
    </w:p>
    <w:p w14:paraId="724E8776" w14:textId="77777777" w:rsidR="002D7AFF" w:rsidRDefault="002D7AFF" w:rsidP="008C6841">
      <w:pPr>
        <w:spacing w:after="0" w:line="240" w:lineRule="auto"/>
        <w:ind w:firstLine="709"/>
        <w:outlineLvl w:val="0"/>
        <w:rPr>
          <w:rFonts w:ascii="Times New Roman" w:eastAsia="Times New Roman" w:hAnsi="Times New Roman" w:cs="Times New Roman"/>
          <w:kern w:val="36"/>
          <w:sz w:val="24"/>
          <w:szCs w:val="24"/>
          <w:lang w:val="kk-KZ" w:eastAsia="ru-RU"/>
        </w:rPr>
      </w:pPr>
    </w:p>
    <w:p w14:paraId="74430490" w14:textId="77777777" w:rsidR="002D7AFF" w:rsidRDefault="002D7AFF" w:rsidP="008C6841">
      <w:pPr>
        <w:spacing w:after="0" w:line="240" w:lineRule="auto"/>
        <w:ind w:firstLine="709"/>
        <w:outlineLvl w:val="0"/>
        <w:rPr>
          <w:rFonts w:ascii="Times New Roman" w:eastAsia="Times New Roman" w:hAnsi="Times New Roman" w:cs="Times New Roman"/>
          <w:kern w:val="36"/>
          <w:sz w:val="24"/>
          <w:szCs w:val="24"/>
          <w:lang w:val="kk-KZ" w:eastAsia="ru-RU"/>
        </w:rPr>
      </w:pPr>
    </w:p>
    <w:bookmarkEnd w:id="18"/>
    <w:p w14:paraId="56B92798" w14:textId="77777777" w:rsidR="002D7AFF" w:rsidRDefault="002D7AFF" w:rsidP="008C6841">
      <w:pPr>
        <w:spacing w:after="0" w:line="240" w:lineRule="auto"/>
        <w:ind w:firstLine="709"/>
        <w:outlineLvl w:val="0"/>
        <w:rPr>
          <w:rFonts w:ascii="Times New Roman" w:eastAsia="Times New Roman" w:hAnsi="Times New Roman" w:cs="Times New Roman"/>
          <w:kern w:val="36"/>
          <w:sz w:val="24"/>
          <w:szCs w:val="24"/>
          <w:lang w:val="kk-KZ" w:eastAsia="ru-RU"/>
        </w:rPr>
      </w:pPr>
    </w:p>
    <w:sectPr w:rsidR="002D7AFF"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9B410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2D7E"/>
    <w:rsid w:val="00223F27"/>
    <w:rsid w:val="00224711"/>
    <w:rsid w:val="00227D47"/>
    <w:rsid w:val="00230A66"/>
    <w:rsid w:val="00230B7A"/>
    <w:rsid w:val="00232798"/>
    <w:rsid w:val="00232BCE"/>
    <w:rsid w:val="002349B8"/>
    <w:rsid w:val="00235E1D"/>
    <w:rsid w:val="002362B4"/>
    <w:rsid w:val="0023696C"/>
    <w:rsid w:val="00236DBE"/>
    <w:rsid w:val="002407D1"/>
    <w:rsid w:val="0024085D"/>
    <w:rsid w:val="00243DAE"/>
    <w:rsid w:val="00244A7D"/>
    <w:rsid w:val="00244EBA"/>
    <w:rsid w:val="00245E76"/>
    <w:rsid w:val="002460C3"/>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805BB"/>
    <w:rsid w:val="00280A26"/>
    <w:rsid w:val="00280B7C"/>
    <w:rsid w:val="00282A7F"/>
    <w:rsid w:val="00282F19"/>
    <w:rsid w:val="00284D6D"/>
    <w:rsid w:val="002856E5"/>
    <w:rsid w:val="002858FE"/>
    <w:rsid w:val="002863C8"/>
    <w:rsid w:val="00287F54"/>
    <w:rsid w:val="0029005B"/>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1FE8"/>
    <w:rsid w:val="002D4F23"/>
    <w:rsid w:val="002D7923"/>
    <w:rsid w:val="002D79A9"/>
    <w:rsid w:val="002D7AFF"/>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7315"/>
    <w:rsid w:val="003A7331"/>
    <w:rsid w:val="003A78C1"/>
    <w:rsid w:val="003B0550"/>
    <w:rsid w:val="003B05EC"/>
    <w:rsid w:val="003B0FC4"/>
    <w:rsid w:val="003B33E3"/>
    <w:rsid w:val="003B4B12"/>
    <w:rsid w:val="003B5F30"/>
    <w:rsid w:val="003B749F"/>
    <w:rsid w:val="003C0843"/>
    <w:rsid w:val="003C0851"/>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77F"/>
    <w:rsid w:val="004B4A60"/>
    <w:rsid w:val="004B5B2E"/>
    <w:rsid w:val="004B5EA2"/>
    <w:rsid w:val="004B5F9E"/>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841"/>
    <w:rsid w:val="008C6912"/>
    <w:rsid w:val="008C6F71"/>
    <w:rsid w:val="008C6FC6"/>
    <w:rsid w:val="008C7232"/>
    <w:rsid w:val="008C7454"/>
    <w:rsid w:val="008D1054"/>
    <w:rsid w:val="008D16AC"/>
    <w:rsid w:val="008D1A42"/>
    <w:rsid w:val="008D1CE1"/>
    <w:rsid w:val="008D390C"/>
    <w:rsid w:val="008D484E"/>
    <w:rsid w:val="008D4986"/>
    <w:rsid w:val="008D4A42"/>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10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EAE"/>
    <w:rsid w:val="00E027ED"/>
    <w:rsid w:val="00E029FC"/>
    <w:rsid w:val="00E03AB1"/>
    <w:rsid w:val="00E04D06"/>
    <w:rsid w:val="00E05FFF"/>
    <w:rsid w:val="00E06EF3"/>
    <w:rsid w:val="00E079EE"/>
    <w:rsid w:val="00E1298C"/>
    <w:rsid w:val="00E13890"/>
    <w:rsid w:val="00E13926"/>
    <w:rsid w:val="00E15117"/>
    <w:rsid w:val="00E159DD"/>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803"/>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54A50"/>
  <w15:docId w15:val="{50812339-49D1-4DEA-846F-FB2F551AF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4E11"/>
  </w:style>
  <w:style w:type="paragraph" w:styleId="1">
    <w:name w:val="heading 1"/>
    <w:basedOn w:val="a"/>
    <w:link w:val="10"/>
    <w:uiPriority w:val="9"/>
    <w:qFormat/>
    <w:rsid w:val="00F348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348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348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listparagraph0">
    <w:name w:val="msolistparagraph0"/>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9B410A"/>
    <w:rPr>
      <w:color w:val="0000FF"/>
      <w:u w:val="single"/>
    </w:rPr>
  </w:style>
  <w:style w:type="character" w:styleId="a4">
    <w:name w:val="FollowedHyperlink"/>
    <w:basedOn w:val="a0"/>
    <w:uiPriority w:val="99"/>
    <w:semiHidden/>
    <w:unhideWhenUsed/>
    <w:rsid w:val="009B410A"/>
    <w:rPr>
      <w:color w:val="800080"/>
      <w:u w:val="single"/>
    </w:rPr>
  </w:style>
  <w:style w:type="paragraph" w:styleId="a5">
    <w:name w:val="Balloon Text"/>
    <w:basedOn w:val="a"/>
    <w:link w:val="a6"/>
    <w:uiPriority w:val="99"/>
    <w:semiHidden/>
    <w:unhideWhenUsed/>
    <w:rsid w:val="009B410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410A"/>
    <w:rPr>
      <w:rFonts w:ascii="Tahoma" w:hAnsi="Tahoma" w:cs="Tahoma"/>
      <w:sz w:val="16"/>
      <w:szCs w:val="16"/>
    </w:rPr>
  </w:style>
  <w:style w:type="character" w:customStyle="1" w:styleId="10">
    <w:name w:val="Заголовок 1 Знак"/>
    <w:basedOn w:val="a0"/>
    <w:link w:val="1"/>
    <w:uiPriority w:val="9"/>
    <w:rsid w:val="00F34803"/>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348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F34803"/>
    <w:rPr>
      <w:rFonts w:asciiTheme="majorHAnsi" w:eastAsiaTheme="majorEastAsia" w:hAnsiTheme="majorHAnsi" w:cstheme="majorBidi"/>
      <w:b/>
      <w:bCs/>
      <w:color w:val="4F81BD" w:themeColor="accent1"/>
    </w:rPr>
  </w:style>
  <w:style w:type="character" w:customStyle="1" w:styleId="20">
    <w:name w:val="Заголовок 2 Знак"/>
    <w:basedOn w:val="a0"/>
    <w:link w:val="2"/>
    <w:uiPriority w:val="9"/>
    <w:rsid w:val="00F34803"/>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39735">
      <w:bodyDiv w:val="1"/>
      <w:marLeft w:val="0"/>
      <w:marRight w:val="0"/>
      <w:marTop w:val="0"/>
      <w:marBottom w:val="0"/>
      <w:divBdr>
        <w:top w:val="none" w:sz="0" w:space="0" w:color="auto"/>
        <w:left w:val="none" w:sz="0" w:space="0" w:color="auto"/>
        <w:bottom w:val="none" w:sz="0" w:space="0" w:color="auto"/>
        <w:right w:val="none" w:sz="0" w:space="0" w:color="auto"/>
      </w:divBdr>
    </w:div>
    <w:div w:id="767121375">
      <w:bodyDiv w:val="1"/>
      <w:marLeft w:val="0"/>
      <w:marRight w:val="0"/>
      <w:marTop w:val="0"/>
      <w:marBottom w:val="0"/>
      <w:divBdr>
        <w:top w:val="none" w:sz="0" w:space="0" w:color="auto"/>
        <w:left w:val="none" w:sz="0" w:space="0" w:color="auto"/>
        <w:bottom w:val="none" w:sz="0" w:space="0" w:color="auto"/>
        <w:right w:val="none" w:sz="0" w:space="0" w:color="auto"/>
      </w:divBdr>
    </w:div>
    <w:div w:id="772432686">
      <w:bodyDiv w:val="1"/>
      <w:marLeft w:val="0"/>
      <w:marRight w:val="0"/>
      <w:marTop w:val="0"/>
      <w:marBottom w:val="0"/>
      <w:divBdr>
        <w:top w:val="none" w:sz="0" w:space="0" w:color="auto"/>
        <w:left w:val="none" w:sz="0" w:space="0" w:color="auto"/>
        <w:bottom w:val="none" w:sz="0" w:space="0" w:color="auto"/>
        <w:right w:val="none" w:sz="0" w:space="0" w:color="auto"/>
      </w:divBdr>
      <w:divsChild>
        <w:div w:id="1358383784">
          <w:marLeft w:val="0"/>
          <w:marRight w:val="0"/>
          <w:marTop w:val="0"/>
          <w:marBottom w:val="0"/>
          <w:divBdr>
            <w:top w:val="none" w:sz="0" w:space="0" w:color="auto"/>
            <w:left w:val="none" w:sz="0" w:space="0" w:color="auto"/>
            <w:bottom w:val="none" w:sz="0" w:space="0" w:color="auto"/>
            <w:right w:val="none" w:sz="0" w:space="0" w:color="auto"/>
          </w:divBdr>
        </w:div>
      </w:divsChild>
    </w:div>
    <w:div w:id="1890528235">
      <w:bodyDiv w:val="1"/>
      <w:marLeft w:val="0"/>
      <w:marRight w:val="0"/>
      <w:marTop w:val="0"/>
      <w:marBottom w:val="0"/>
      <w:divBdr>
        <w:top w:val="none" w:sz="0" w:space="0" w:color="auto"/>
        <w:left w:val="none" w:sz="0" w:space="0" w:color="auto"/>
        <w:bottom w:val="none" w:sz="0" w:space="0" w:color="auto"/>
        <w:right w:val="none" w:sz="0" w:space="0" w:color="auto"/>
      </w:divBdr>
    </w:div>
    <w:div w:id="205346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6095</Words>
  <Characters>34743</Characters>
  <Application>Microsoft Office Word</Application>
  <DocSecurity>0</DocSecurity>
  <Lines>289</Lines>
  <Paragraphs>81</Paragraphs>
  <ScaleCrop>false</ScaleCrop>
  <Company>DG Win&amp;Soft</Company>
  <LinksUpToDate>false</LinksUpToDate>
  <CharactersWithSpaces>40757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Абдрахманова Жаннур Сериковна</cp:lastModifiedBy>
  <cp:revision>7</cp:revision>
  <dcterms:created xsi:type="dcterms:W3CDTF">2019-09-30T04:13:00Z</dcterms:created>
  <dcterms:modified xsi:type="dcterms:W3CDTF">2023-10-13T07:46:00Z</dcterms:modified>
</cp:coreProperties>
</file>